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76E0C" w14:textId="701474F3" w:rsidR="00AB5857" w:rsidRPr="0064704A" w:rsidRDefault="0064704A" w:rsidP="0064704A">
      <w:pPr>
        <w:spacing w:before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3.41 </w:t>
      </w:r>
      <w:r w:rsidR="00AB5857" w:rsidRPr="0064704A">
        <w:rPr>
          <w:b/>
          <w:bCs/>
          <w:color w:val="000000" w:themeColor="text1"/>
          <w:sz w:val="28"/>
          <w:szCs w:val="28"/>
        </w:rPr>
        <w:t>Proof of proceedings before justice of the peace</w:t>
      </w:r>
      <w:r w:rsidR="008F19E1" w:rsidRPr="0064704A">
        <w:rPr>
          <w:b/>
          <w:bCs/>
          <w:color w:val="000000" w:themeColor="text1"/>
          <w:sz w:val="28"/>
          <w:szCs w:val="28"/>
        </w:rPr>
        <w:t xml:space="preserve"> </w:t>
      </w:r>
      <w:r w:rsidR="008F1441">
        <w:rPr>
          <w:b/>
          <w:bCs/>
          <w:color w:val="000000" w:themeColor="text1"/>
          <w:sz w:val="28"/>
          <w:szCs w:val="28"/>
        </w:rPr>
        <w:t>(</w:t>
      </w:r>
      <w:r w:rsidR="00AB5857" w:rsidRPr="0064704A">
        <w:rPr>
          <w:b/>
          <w:bCs/>
          <w:color w:val="000000" w:themeColor="text1"/>
          <w:sz w:val="28"/>
          <w:szCs w:val="28"/>
        </w:rPr>
        <w:t>CPLR 4541</w:t>
      </w:r>
      <w:r w:rsidR="008F1441">
        <w:rPr>
          <w:b/>
          <w:bCs/>
          <w:color w:val="000000" w:themeColor="text1"/>
          <w:sz w:val="28"/>
          <w:szCs w:val="28"/>
        </w:rPr>
        <w:t>)</w:t>
      </w:r>
      <w:r w:rsidR="008F19E1" w:rsidRPr="0064704A">
        <w:rPr>
          <w:b/>
          <w:bCs/>
          <w:color w:val="000000" w:themeColor="text1"/>
          <w:sz w:val="28"/>
          <w:szCs w:val="28"/>
        </w:rPr>
        <w:t>.</w:t>
      </w:r>
    </w:p>
    <w:p w14:paraId="45805CD2" w14:textId="77777777" w:rsidR="00AB5857" w:rsidRPr="0064704A" w:rsidRDefault="00AB5857" w:rsidP="0064704A">
      <w:pPr>
        <w:spacing w:before="0"/>
        <w:rPr>
          <w:b/>
          <w:bCs/>
          <w:color w:val="000000" w:themeColor="text1"/>
          <w:sz w:val="28"/>
          <w:szCs w:val="28"/>
        </w:rPr>
      </w:pPr>
    </w:p>
    <w:p w14:paraId="28256E7E" w14:textId="7AEBB9A7" w:rsidR="00AB5857" w:rsidRPr="0064704A" w:rsidRDefault="0064704A" w:rsidP="0064704A">
      <w:pPr>
        <w:spacing w:before="0"/>
        <w:ind w:left="720" w:right="720"/>
        <w:jc w:val="both"/>
        <w:rPr>
          <w:b/>
          <w:bCs/>
          <w:color w:val="000000" w:themeColor="text1"/>
          <w:sz w:val="28"/>
          <w:szCs w:val="28"/>
        </w:rPr>
      </w:pPr>
      <w:r w:rsidRPr="0064704A">
        <w:rPr>
          <w:b/>
          <w:bCs/>
          <w:color w:val="000000" w:themeColor="text1"/>
          <w:sz w:val="28"/>
          <w:szCs w:val="28"/>
        </w:rPr>
        <w:t xml:space="preserve">(a) </w:t>
      </w:r>
      <w:r w:rsidR="00AB5857" w:rsidRPr="0064704A">
        <w:rPr>
          <w:b/>
          <w:bCs/>
          <w:color w:val="000000" w:themeColor="text1"/>
          <w:sz w:val="28"/>
          <w:szCs w:val="28"/>
        </w:rPr>
        <w:t>Of the state. A transcript from the docket-book of a justice of the peace of the state, subscribed by him</w:t>
      </w:r>
      <w:r w:rsidR="00EC60F8" w:rsidRPr="0064704A">
        <w:rPr>
          <w:b/>
          <w:bCs/>
          <w:color w:val="000000" w:themeColor="text1"/>
          <w:sz w:val="28"/>
          <w:szCs w:val="28"/>
        </w:rPr>
        <w:t xml:space="preserve"> [or her]</w:t>
      </w:r>
      <w:r w:rsidR="00AB5857" w:rsidRPr="0064704A">
        <w:rPr>
          <w:b/>
          <w:bCs/>
          <w:color w:val="000000" w:themeColor="text1"/>
          <w:sz w:val="28"/>
          <w:szCs w:val="28"/>
        </w:rPr>
        <w:t xml:space="preserve">, and authenticated by a certificate signed by the clerk of the county in which the justice resides, with the county seal affixed, to the effect that the person subscribing the transcript is a justice of the peace of that county, </w:t>
      </w:r>
      <w:bookmarkStart w:id="0" w:name="_Hlk112758544"/>
      <w:r w:rsidR="00AB5857" w:rsidRPr="0064704A">
        <w:rPr>
          <w:b/>
          <w:bCs/>
          <w:color w:val="000000" w:themeColor="text1"/>
          <w:sz w:val="28"/>
          <w:szCs w:val="28"/>
        </w:rPr>
        <w:t xml:space="preserve">is prima facie evidence of any matter stated in the transcript which is required by law to be entered by the justice in his </w:t>
      </w:r>
      <w:r w:rsidR="00735C80" w:rsidRPr="0064704A">
        <w:rPr>
          <w:b/>
          <w:bCs/>
          <w:color w:val="000000" w:themeColor="text1"/>
          <w:sz w:val="28"/>
          <w:szCs w:val="28"/>
        </w:rPr>
        <w:t>[or her</w:t>
      </w:r>
      <w:r w:rsidR="00EC60F8" w:rsidRPr="0064704A">
        <w:rPr>
          <w:b/>
          <w:bCs/>
          <w:color w:val="000000" w:themeColor="text1"/>
          <w:sz w:val="28"/>
          <w:szCs w:val="28"/>
        </w:rPr>
        <w:t>]</w:t>
      </w:r>
      <w:r w:rsidR="00735C80" w:rsidRPr="0064704A">
        <w:rPr>
          <w:b/>
          <w:bCs/>
          <w:color w:val="000000" w:themeColor="text1"/>
          <w:sz w:val="28"/>
          <w:szCs w:val="28"/>
        </w:rPr>
        <w:t xml:space="preserve"> </w:t>
      </w:r>
      <w:r w:rsidR="00AB5857" w:rsidRPr="0064704A">
        <w:rPr>
          <w:b/>
          <w:bCs/>
          <w:color w:val="000000" w:themeColor="text1"/>
          <w:sz w:val="28"/>
          <w:szCs w:val="28"/>
        </w:rPr>
        <w:t>docket-book.</w:t>
      </w:r>
    </w:p>
    <w:bookmarkEnd w:id="0"/>
    <w:p w14:paraId="1549D77B" w14:textId="77777777" w:rsidR="00AB5857" w:rsidRPr="0064704A" w:rsidRDefault="00AB5857" w:rsidP="0064704A">
      <w:pPr>
        <w:pStyle w:val="ListParagraph"/>
        <w:spacing w:before="0"/>
        <w:ind w:left="0" w:right="720"/>
        <w:rPr>
          <w:b/>
          <w:bCs/>
          <w:color w:val="000000" w:themeColor="text1"/>
          <w:sz w:val="28"/>
          <w:szCs w:val="28"/>
        </w:rPr>
      </w:pPr>
    </w:p>
    <w:p w14:paraId="3F0CB117" w14:textId="35B83FCA" w:rsidR="00AB5857" w:rsidRPr="0064704A" w:rsidRDefault="0064704A" w:rsidP="0064704A">
      <w:pPr>
        <w:spacing w:before="0"/>
        <w:ind w:left="720" w:right="720"/>
        <w:jc w:val="both"/>
        <w:rPr>
          <w:b/>
          <w:bCs/>
          <w:color w:val="000000" w:themeColor="text1"/>
          <w:sz w:val="28"/>
          <w:szCs w:val="28"/>
        </w:rPr>
      </w:pPr>
      <w:r w:rsidRPr="0064704A">
        <w:rPr>
          <w:b/>
          <w:bCs/>
          <w:color w:val="000000" w:themeColor="text1"/>
          <w:sz w:val="28"/>
          <w:szCs w:val="28"/>
        </w:rPr>
        <w:t xml:space="preserve">(b) </w:t>
      </w:r>
      <w:r w:rsidR="00AB5857" w:rsidRPr="0064704A">
        <w:rPr>
          <w:b/>
          <w:bCs/>
          <w:color w:val="000000" w:themeColor="text1"/>
          <w:sz w:val="28"/>
          <w:szCs w:val="28"/>
        </w:rPr>
        <w:t xml:space="preserve">Of another state. </w:t>
      </w:r>
      <w:bookmarkStart w:id="1" w:name="_Hlk112758862"/>
      <w:r w:rsidR="00AB5857" w:rsidRPr="0064704A">
        <w:rPr>
          <w:b/>
          <w:bCs/>
          <w:color w:val="000000" w:themeColor="text1"/>
          <w:sz w:val="28"/>
          <w:szCs w:val="28"/>
        </w:rPr>
        <w:t>A transcript from the docket-book of a justice of the peace of another state</w:t>
      </w:r>
      <w:bookmarkEnd w:id="1"/>
      <w:r w:rsidR="00AB5857" w:rsidRPr="0064704A">
        <w:rPr>
          <w:b/>
          <w:bCs/>
          <w:color w:val="000000" w:themeColor="text1"/>
          <w:sz w:val="28"/>
          <w:szCs w:val="28"/>
        </w:rPr>
        <w:t xml:space="preserve">, of his </w:t>
      </w:r>
      <w:r w:rsidR="00EC60F8" w:rsidRPr="0064704A">
        <w:rPr>
          <w:b/>
          <w:bCs/>
          <w:color w:val="000000" w:themeColor="text1"/>
          <w:sz w:val="28"/>
          <w:szCs w:val="28"/>
        </w:rPr>
        <w:t xml:space="preserve">[or her] </w:t>
      </w:r>
      <w:r w:rsidR="00AB5857" w:rsidRPr="0064704A">
        <w:rPr>
          <w:b/>
          <w:bCs/>
          <w:color w:val="000000" w:themeColor="text1"/>
          <w:sz w:val="28"/>
          <w:szCs w:val="28"/>
        </w:rPr>
        <w:t>minutes of the proceedings in a cause, of a judgment rendered by him</w:t>
      </w:r>
      <w:r w:rsidR="00EC60F8" w:rsidRPr="0064704A">
        <w:rPr>
          <w:b/>
          <w:bCs/>
          <w:color w:val="000000" w:themeColor="text1"/>
          <w:sz w:val="28"/>
          <w:szCs w:val="28"/>
        </w:rPr>
        <w:t xml:space="preserve"> [or her]</w:t>
      </w:r>
      <w:r w:rsidR="00AB5857" w:rsidRPr="0064704A">
        <w:rPr>
          <w:b/>
          <w:bCs/>
          <w:color w:val="000000" w:themeColor="text1"/>
          <w:sz w:val="28"/>
          <w:szCs w:val="28"/>
        </w:rPr>
        <w:t>, of an execution issued thereon or of the return of an execution, when subscribed by him</w:t>
      </w:r>
      <w:r w:rsidR="00EC60F8" w:rsidRPr="0064704A">
        <w:rPr>
          <w:b/>
          <w:bCs/>
          <w:color w:val="000000" w:themeColor="text1"/>
          <w:sz w:val="28"/>
          <w:szCs w:val="28"/>
        </w:rPr>
        <w:t xml:space="preserve"> [or her]</w:t>
      </w:r>
      <w:r w:rsidR="00AB5857" w:rsidRPr="0064704A">
        <w:rPr>
          <w:b/>
          <w:bCs/>
          <w:color w:val="000000" w:themeColor="text1"/>
          <w:sz w:val="28"/>
          <w:szCs w:val="28"/>
        </w:rPr>
        <w:t xml:space="preserve">, and authenticated as prescribed in this subdivision is </w:t>
      </w:r>
      <w:bookmarkStart w:id="2" w:name="_Hlk103517042"/>
      <w:r w:rsidR="00AB5857" w:rsidRPr="0064704A">
        <w:rPr>
          <w:b/>
          <w:bCs/>
          <w:color w:val="000000" w:themeColor="text1"/>
          <w:sz w:val="28"/>
          <w:szCs w:val="28"/>
        </w:rPr>
        <w:t xml:space="preserve">prima facie evidence of his </w:t>
      </w:r>
      <w:r w:rsidR="008F1441">
        <w:rPr>
          <w:b/>
          <w:bCs/>
          <w:color w:val="000000" w:themeColor="text1"/>
          <w:sz w:val="28"/>
          <w:szCs w:val="28"/>
        </w:rPr>
        <w:t xml:space="preserve">[or her] </w:t>
      </w:r>
      <w:r w:rsidR="00AB5857" w:rsidRPr="0064704A">
        <w:rPr>
          <w:b/>
          <w:bCs/>
          <w:color w:val="000000" w:themeColor="text1"/>
          <w:sz w:val="28"/>
          <w:szCs w:val="28"/>
        </w:rPr>
        <w:t xml:space="preserve">jurisdiction in the cause and of the matters shown by the transcript. </w:t>
      </w:r>
      <w:bookmarkEnd w:id="2"/>
      <w:r w:rsidR="00AB5857" w:rsidRPr="0064704A">
        <w:rPr>
          <w:b/>
          <w:bCs/>
          <w:color w:val="000000" w:themeColor="text1"/>
          <w:sz w:val="28"/>
          <w:szCs w:val="28"/>
        </w:rPr>
        <w:t xml:space="preserve">The transcript shall be authenticated by a certificate of the justice to the effect that it is in all respects correct and that he </w:t>
      </w:r>
      <w:r w:rsidR="00EC60F8" w:rsidRPr="0064704A">
        <w:rPr>
          <w:b/>
          <w:bCs/>
          <w:color w:val="000000" w:themeColor="text1"/>
          <w:sz w:val="28"/>
          <w:szCs w:val="28"/>
        </w:rPr>
        <w:t xml:space="preserve">[or she] </w:t>
      </w:r>
      <w:r w:rsidR="00AB5857" w:rsidRPr="0064704A">
        <w:rPr>
          <w:b/>
          <w:bCs/>
          <w:color w:val="000000" w:themeColor="text1"/>
          <w:sz w:val="28"/>
          <w:szCs w:val="28"/>
        </w:rPr>
        <w:t xml:space="preserve">had jurisdiction of the cause; and also by a certificate of the clerk or prothonotary of the county in which the justice resides, with his </w:t>
      </w:r>
      <w:r w:rsidR="00735C80" w:rsidRPr="0064704A">
        <w:rPr>
          <w:b/>
          <w:bCs/>
          <w:color w:val="000000" w:themeColor="text1"/>
          <w:sz w:val="28"/>
          <w:szCs w:val="28"/>
        </w:rPr>
        <w:t xml:space="preserve">[or her] </w:t>
      </w:r>
      <w:r w:rsidR="00AB5857" w:rsidRPr="0064704A">
        <w:rPr>
          <w:b/>
          <w:bCs/>
          <w:color w:val="000000" w:themeColor="text1"/>
          <w:sz w:val="28"/>
          <w:szCs w:val="28"/>
        </w:rPr>
        <w:t>official seal affixed, to the effect that the person subscribing the certificate attached to the transcript is a justice of the peace of that county.</w:t>
      </w:r>
    </w:p>
    <w:p w14:paraId="72771FD4" w14:textId="77777777" w:rsidR="00AB5857" w:rsidRPr="0064704A" w:rsidRDefault="00AB5857" w:rsidP="0064704A">
      <w:pPr>
        <w:spacing w:before="0"/>
        <w:rPr>
          <w:color w:val="000000" w:themeColor="text1"/>
          <w:sz w:val="28"/>
          <w:szCs w:val="28"/>
        </w:rPr>
      </w:pPr>
    </w:p>
    <w:p w14:paraId="54155B75" w14:textId="704A0A15" w:rsidR="00AD48FC" w:rsidRPr="0064704A" w:rsidRDefault="00A8063C" w:rsidP="0064704A">
      <w:pPr>
        <w:spacing w:before="0"/>
        <w:jc w:val="center"/>
        <w:rPr>
          <w:b/>
          <w:bCs/>
          <w:color w:val="000000" w:themeColor="text1"/>
        </w:rPr>
      </w:pPr>
      <w:r w:rsidRPr="0064704A">
        <w:rPr>
          <w:b/>
          <w:bCs/>
          <w:color w:val="000000" w:themeColor="text1"/>
        </w:rPr>
        <w:t>Note</w:t>
      </w:r>
    </w:p>
    <w:p w14:paraId="6371CDC0" w14:textId="1FEF1DFC" w:rsidR="00A8063C" w:rsidRPr="0064704A" w:rsidRDefault="00A8063C" w:rsidP="0064704A">
      <w:pPr>
        <w:spacing w:before="0"/>
        <w:rPr>
          <w:b/>
          <w:bCs/>
          <w:color w:val="000000" w:themeColor="text1"/>
        </w:rPr>
      </w:pPr>
    </w:p>
    <w:p w14:paraId="057D6694" w14:textId="7C90906D" w:rsidR="00854E53" w:rsidRPr="0064704A" w:rsidRDefault="00A8063C" w:rsidP="0064704A">
      <w:pPr>
        <w:spacing w:before="0"/>
        <w:jc w:val="both"/>
        <w:rPr>
          <w:color w:val="000000" w:themeColor="text1"/>
        </w:rPr>
      </w:pPr>
      <w:r w:rsidRPr="0064704A">
        <w:rPr>
          <w:color w:val="000000" w:themeColor="text1"/>
        </w:rPr>
        <w:tab/>
      </w:r>
      <w:r w:rsidR="00134A6E" w:rsidRPr="0064704A">
        <w:rPr>
          <w:color w:val="000000" w:themeColor="text1"/>
        </w:rPr>
        <w:t xml:space="preserve">This rule recites verbatim </w:t>
      </w:r>
      <w:r w:rsidRPr="0064704A">
        <w:rPr>
          <w:color w:val="000000" w:themeColor="text1"/>
        </w:rPr>
        <w:t>CPLR 4541</w:t>
      </w:r>
      <w:r w:rsidR="00735C80" w:rsidRPr="0064704A">
        <w:rPr>
          <w:color w:val="000000" w:themeColor="text1"/>
        </w:rPr>
        <w:t>.</w:t>
      </w:r>
    </w:p>
    <w:p w14:paraId="20A8FDAF" w14:textId="77777777" w:rsidR="00854E53" w:rsidRPr="0064704A" w:rsidRDefault="00854E53" w:rsidP="0064704A">
      <w:pPr>
        <w:spacing w:before="0"/>
        <w:jc w:val="both"/>
        <w:rPr>
          <w:color w:val="000000" w:themeColor="text1"/>
        </w:rPr>
      </w:pPr>
    </w:p>
    <w:p w14:paraId="6AD15FD0" w14:textId="0F8D455A" w:rsidR="00792FA8" w:rsidRPr="0064704A" w:rsidRDefault="0064704A" w:rsidP="0064704A">
      <w:pPr>
        <w:tabs>
          <w:tab w:val="left" w:pos="720"/>
        </w:tabs>
        <w:spacing w:before="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ab/>
      </w:r>
      <w:r w:rsidR="00EB05F0">
        <w:rPr>
          <w:b/>
          <w:bCs/>
          <w:color w:val="000000" w:themeColor="text1"/>
        </w:rPr>
        <w:t>Subdivision</w:t>
      </w:r>
      <w:r w:rsidR="001A581B" w:rsidRPr="0064704A">
        <w:rPr>
          <w:b/>
          <w:bCs/>
          <w:color w:val="000000" w:themeColor="text1"/>
        </w:rPr>
        <w:t xml:space="preserve"> (</w:t>
      </w:r>
      <w:r w:rsidR="00870DA6" w:rsidRPr="0064704A">
        <w:rPr>
          <w:b/>
          <w:bCs/>
          <w:color w:val="000000" w:themeColor="text1"/>
        </w:rPr>
        <w:t>a)</w:t>
      </w:r>
      <w:r w:rsidR="00735C80" w:rsidRPr="0064704A">
        <w:rPr>
          <w:color w:val="000000" w:themeColor="text1"/>
        </w:rPr>
        <w:t xml:space="preserve"> allows</w:t>
      </w:r>
      <w:r w:rsidR="006F251D" w:rsidRPr="0064704A">
        <w:rPr>
          <w:color w:val="000000" w:themeColor="text1"/>
        </w:rPr>
        <w:t xml:space="preserve"> a “transcript” from the docket-book of a </w:t>
      </w:r>
      <w:r w:rsidR="009F00D8" w:rsidRPr="0064704A">
        <w:rPr>
          <w:color w:val="000000" w:themeColor="text1"/>
        </w:rPr>
        <w:t xml:space="preserve">New York </w:t>
      </w:r>
      <w:r w:rsidR="006F251D" w:rsidRPr="0064704A">
        <w:rPr>
          <w:color w:val="000000" w:themeColor="text1"/>
        </w:rPr>
        <w:t xml:space="preserve">justice of the peace </w:t>
      </w:r>
      <w:r w:rsidR="005F3C23" w:rsidRPr="0064704A">
        <w:rPr>
          <w:color w:val="000000" w:themeColor="text1"/>
        </w:rPr>
        <w:t>(</w:t>
      </w:r>
      <w:r w:rsidR="006F251D" w:rsidRPr="0064704A">
        <w:rPr>
          <w:color w:val="000000" w:themeColor="text1"/>
        </w:rPr>
        <w:t xml:space="preserve">presently referred to </w:t>
      </w:r>
      <w:r w:rsidR="009F00D8" w:rsidRPr="0064704A">
        <w:rPr>
          <w:color w:val="000000" w:themeColor="text1"/>
        </w:rPr>
        <w:t xml:space="preserve">as </w:t>
      </w:r>
      <w:r w:rsidR="006F251D" w:rsidRPr="0064704A">
        <w:rPr>
          <w:color w:val="000000" w:themeColor="text1"/>
        </w:rPr>
        <w:t>a Town Justice or Village Justice</w:t>
      </w:r>
      <w:r w:rsidR="005F3C23" w:rsidRPr="0064704A">
        <w:rPr>
          <w:color w:val="000000" w:themeColor="text1"/>
        </w:rPr>
        <w:t>)</w:t>
      </w:r>
      <w:r w:rsidR="006F251D" w:rsidRPr="0064704A">
        <w:rPr>
          <w:color w:val="000000" w:themeColor="text1"/>
        </w:rPr>
        <w:t xml:space="preserve">, </w:t>
      </w:r>
      <w:r w:rsidR="00870DA6" w:rsidRPr="0064704A">
        <w:rPr>
          <w:color w:val="000000" w:themeColor="text1"/>
        </w:rPr>
        <w:t xml:space="preserve">when </w:t>
      </w:r>
      <w:r w:rsidR="006F251D" w:rsidRPr="0064704A">
        <w:rPr>
          <w:color w:val="000000" w:themeColor="text1"/>
        </w:rPr>
        <w:t xml:space="preserve">certified </w:t>
      </w:r>
      <w:r w:rsidR="00735C80" w:rsidRPr="0064704A">
        <w:rPr>
          <w:color w:val="000000" w:themeColor="text1"/>
        </w:rPr>
        <w:t>as required by</w:t>
      </w:r>
      <w:r w:rsidR="006F251D" w:rsidRPr="0064704A">
        <w:rPr>
          <w:color w:val="000000" w:themeColor="text1"/>
        </w:rPr>
        <w:t xml:space="preserve"> the statute</w:t>
      </w:r>
      <w:r w:rsidR="00735C80" w:rsidRPr="0064704A">
        <w:rPr>
          <w:color w:val="000000" w:themeColor="text1"/>
        </w:rPr>
        <w:t>,</w:t>
      </w:r>
      <w:r w:rsidR="006F251D" w:rsidRPr="0064704A">
        <w:rPr>
          <w:color w:val="000000" w:themeColor="text1"/>
        </w:rPr>
        <w:t xml:space="preserve"> to be</w:t>
      </w:r>
      <w:r w:rsidR="00392F94" w:rsidRPr="0064704A">
        <w:rPr>
          <w:color w:val="000000" w:themeColor="text1"/>
        </w:rPr>
        <w:t xml:space="preserve"> </w:t>
      </w:r>
      <w:r w:rsidR="006F251D" w:rsidRPr="0064704A">
        <w:rPr>
          <w:color w:val="000000" w:themeColor="text1"/>
        </w:rPr>
        <w:t xml:space="preserve">prima facie evidence of </w:t>
      </w:r>
      <w:r w:rsidR="008A2C16" w:rsidRPr="0064704A">
        <w:rPr>
          <w:color w:val="000000" w:themeColor="text1"/>
        </w:rPr>
        <w:t xml:space="preserve">the </w:t>
      </w:r>
      <w:r w:rsidR="006F251D" w:rsidRPr="0064704A">
        <w:rPr>
          <w:color w:val="000000" w:themeColor="text1"/>
        </w:rPr>
        <w:t>contents of the transcript</w:t>
      </w:r>
      <w:r w:rsidR="00733686" w:rsidRPr="0064704A">
        <w:rPr>
          <w:color w:val="000000" w:themeColor="text1"/>
        </w:rPr>
        <w:t xml:space="preserve"> </w:t>
      </w:r>
      <w:r w:rsidR="00135F1A" w:rsidRPr="0064704A">
        <w:rPr>
          <w:color w:val="000000" w:themeColor="text1"/>
        </w:rPr>
        <w:t xml:space="preserve">that </w:t>
      </w:r>
      <w:r w:rsidR="00F13F07" w:rsidRPr="0064704A">
        <w:rPr>
          <w:color w:val="000000" w:themeColor="text1"/>
        </w:rPr>
        <w:t>are</w:t>
      </w:r>
      <w:r w:rsidR="00733686" w:rsidRPr="0064704A">
        <w:rPr>
          <w:color w:val="000000" w:themeColor="text1"/>
        </w:rPr>
        <w:t xml:space="preserve"> </w:t>
      </w:r>
      <w:r w:rsidR="00F13F07" w:rsidRPr="0064704A">
        <w:rPr>
          <w:color w:val="000000" w:themeColor="text1"/>
        </w:rPr>
        <w:t>“</w:t>
      </w:r>
      <w:r w:rsidR="00733686" w:rsidRPr="0064704A">
        <w:rPr>
          <w:color w:val="000000" w:themeColor="text1"/>
        </w:rPr>
        <w:t>required by law to be entered by the justice in his [or her] docket-book.”</w:t>
      </w:r>
    </w:p>
    <w:p w14:paraId="37B9D560" w14:textId="77777777" w:rsidR="00BD239C" w:rsidRPr="0064704A" w:rsidRDefault="00BD239C" w:rsidP="0064704A">
      <w:pPr>
        <w:spacing w:before="0"/>
        <w:jc w:val="both"/>
        <w:rPr>
          <w:color w:val="000000" w:themeColor="text1"/>
        </w:rPr>
      </w:pPr>
    </w:p>
    <w:p w14:paraId="40FF192F" w14:textId="54AA1655" w:rsidR="00A8063C" w:rsidRPr="0064704A" w:rsidRDefault="0064704A" w:rsidP="0064704A">
      <w:pPr>
        <w:tabs>
          <w:tab w:val="left" w:pos="720"/>
        </w:tabs>
        <w:spacing w:before="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ab/>
      </w:r>
      <w:r w:rsidR="00EB05F0">
        <w:rPr>
          <w:b/>
          <w:bCs/>
          <w:color w:val="000000" w:themeColor="text1"/>
        </w:rPr>
        <w:t>Subdivision</w:t>
      </w:r>
      <w:r w:rsidR="00F13F07" w:rsidRPr="0064704A">
        <w:rPr>
          <w:b/>
          <w:bCs/>
          <w:color w:val="000000" w:themeColor="text1"/>
        </w:rPr>
        <w:t xml:space="preserve"> (b</w:t>
      </w:r>
      <w:r w:rsidR="00854E53" w:rsidRPr="0064704A">
        <w:rPr>
          <w:b/>
          <w:bCs/>
          <w:color w:val="000000" w:themeColor="text1"/>
        </w:rPr>
        <w:t>)</w:t>
      </w:r>
      <w:r w:rsidR="00854E53" w:rsidRPr="0064704A">
        <w:rPr>
          <w:color w:val="000000" w:themeColor="text1"/>
        </w:rPr>
        <w:t xml:space="preserve"> </w:t>
      </w:r>
      <w:r w:rsidR="005A24AC" w:rsidRPr="0064704A">
        <w:rPr>
          <w:color w:val="000000" w:themeColor="text1"/>
        </w:rPr>
        <w:t xml:space="preserve">addresses a </w:t>
      </w:r>
      <w:r w:rsidR="00937B01" w:rsidRPr="0064704A">
        <w:rPr>
          <w:color w:val="000000" w:themeColor="text1"/>
        </w:rPr>
        <w:t>transcript from the docket-book of a justice of the peace of another state</w:t>
      </w:r>
      <w:r w:rsidR="005A24AC" w:rsidRPr="0064704A">
        <w:rPr>
          <w:color w:val="000000" w:themeColor="text1"/>
        </w:rPr>
        <w:t xml:space="preserve">. </w:t>
      </w:r>
      <w:r w:rsidR="0067671A" w:rsidRPr="0064704A">
        <w:rPr>
          <w:color w:val="000000" w:themeColor="text1"/>
        </w:rPr>
        <w:t xml:space="preserve">When the specified procedure is followed, that transcript </w:t>
      </w:r>
      <w:r w:rsidR="00EA7335" w:rsidRPr="0064704A">
        <w:rPr>
          <w:color w:val="000000" w:themeColor="text1"/>
        </w:rPr>
        <w:t xml:space="preserve">is prima facie evidence of </w:t>
      </w:r>
      <w:r w:rsidR="00C6336A" w:rsidRPr="0064704A">
        <w:rPr>
          <w:color w:val="000000" w:themeColor="text1"/>
        </w:rPr>
        <w:t xml:space="preserve">both </w:t>
      </w:r>
      <w:r w:rsidR="00EA7335" w:rsidRPr="0064704A">
        <w:rPr>
          <w:color w:val="000000" w:themeColor="text1"/>
        </w:rPr>
        <w:t xml:space="preserve">the </w:t>
      </w:r>
      <w:r w:rsidR="008713CE" w:rsidRPr="0064704A">
        <w:rPr>
          <w:color w:val="000000" w:themeColor="text1"/>
        </w:rPr>
        <w:t>“</w:t>
      </w:r>
      <w:r w:rsidR="00EA7335" w:rsidRPr="0064704A">
        <w:rPr>
          <w:color w:val="000000" w:themeColor="text1"/>
        </w:rPr>
        <w:t>justice</w:t>
      </w:r>
      <w:r w:rsidR="00E1526C">
        <w:rPr>
          <w:color w:val="000000" w:themeColor="text1"/>
        </w:rPr>
        <w:t>’</w:t>
      </w:r>
      <w:r w:rsidR="00EA7335" w:rsidRPr="0064704A">
        <w:rPr>
          <w:color w:val="000000" w:themeColor="text1"/>
        </w:rPr>
        <w:t>s</w:t>
      </w:r>
      <w:r w:rsidR="008713CE" w:rsidRPr="0064704A">
        <w:rPr>
          <w:color w:val="000000" w:themeColor="text1"/>
        </w:rPr>
        <w:t xml:space="preserve"> ‘</w:t>
      </w:r>
      <w:r w:rsidR="00EA7335" w:rsidRPr="0064704A">
        <w:rPr>
          <w:color w:val="000000" w:themeColor="text1"/>
        </w:rPr>
        <w:t>jurisdiction in the cause</w:t>
      </w:r>
      <w:r w:rsidR="000D09FD" w:rsidRPr="0064704A">
        <w:rPr>
          <w:color w:val="000000" w:themeColor="text1"/>
        </w:rPr>
        <w:t>’</w:t>
      </w:r>
      <w:r w:rsidR="00EA7335" w:rsidRPr="0064704A">
        <w:rPr>
          <w:color w:val="000000" w:themeColor="text1"/>
        </w:rPr>
        <w:t xml:space="preserve"> </w:t>
      </w:r>
      <w:r w:rsidR="00EA7335" w:rsidRPr="0064704A">
        <w:rPr>
          <w:color w:val="000000" w:themeColor="text1"/>
        </w:rPr>
        <w:lastRenderedPageBreak/>
        <w:t xml:space="preserve">and of </w:t>
      </w:r>
      <w:r w:rsidR="000D09FD" w:rsidRPr="0064704A">
        <w:rPr>
          <w:color w:val="000000" w:themeColor="text1"/>
        </w:rPr>
        <w:t>‘</w:t>
      </w:r>
      <w:r w:rsidR="00EA7335" w:rsidRPr="0064704A">
        <w:rPr>
          <w:color w:val="000000" w:themeColor="text1"/>
        </w:rPr>
        <w:t>the matters shown by the transcript.</w:t>
      </w:r>
      <w:r w:rsidR="000D09FD" w:rsidRPr="0064704A">
        <w:rPr>
          <w:color w:val="000000" w:themeColor="text1"/>
        </w:rPr>
        <w:t>’</w:t>
      </w:r>
      <w:r w:rsidR="00EA7335" w:rsidRPr="0064704A">
        <w:rPr>
          <w:color w:val="000000" w:themeColor="text1"/>
        </w:rPr>
        <w:t xml:space="preserve"> Under subdivision (a), on the other hand, the transcript from the docket book of a New York justice of the peace is not per se evidence of the justice</w:t>
      </w:r>
      <w:r w:rsidR="00E1526C">
        <w:rPr>
          <w:color w:val="000000" w:themeColor="text1"/>
        </w:rPr>
        <w:t>’</w:t>
      </w:r>
      <w:r w:rsidR="00EA7335" w:rsidRPr="0064704A">
        <w:rPr>
          <w:color w:val="000000" w:themeColor="text1"/>
        </w:rPr>
        <w:t xml:space="preserve">s jurisdiction and is prima facie evidence only of the matters stated in the transcript that are </w:t>
      </w:r>
      <w:r w:rsidR="001A581B" w:rsidRPr="0064704A">
        <w:rPr>
          <w:color w:val="000000" w:themeColor="text1"/>
        </w:rPr>
        <w:t>‘</w:t>
      </w:r>
      <w:r w:rsidR="00EA7335" w:rsidRPr="0064704A">
        <w:rPr>
          <w:color w:val="000000" w:themeColor="text1"/>
        </w:rPr>
        <w:t xml:space="preserve">required by law to be entered by the justice in his </w:t>
      </w:r>
      <w:r w:rsidR="003116D2">
        <w:rPr>
          <w:color w:val="000000" w:themeColor="text1"/>
        </w:rPr>
        <w:t xml:space="preserve">[or her] </w:t>
      </w:r>
      <w:r w:rsidR="00EA7335" w:rsidRPr="0064704A">
        <w:rPr>
          <w:color w:val="000000" w:themeColor="text1"/>
        </w:rPr>
        <w:t>docket-book</w:t>
      </w:r>
      <w:r w:rsidR="001A581B" w:rsidRPr="0064704A">
        <w:rPr>
          <w:color w:val="000000" w:themeColor="text1"/>
        </w:rPr>
        <w:t>’</w:t>
      </w:r>
      <w:r w:rsidR="005B49DE" w:rsidRPr="0064704A">
        <w:rPr>
          <w:color w:val="000000" w:themeColor="text1"/>
        </w:rPr>
        <w:t xml:space="preserve"> </w:t>
      </w:r>
      <w:r w:rsidR="00C1721E" w:rsidRPr="0064704A">
        <w:rPr>
          <w:color w:val="000000" w:themeColor="text1"/>
        </w:rPr>
        <w:t>”</w:t>
      </w:r>
      <w:r w:rsidR="00363B11" w:rsidRPr="0064704A">
        <w:rPr>
          <w:b/>
          <w:bCs/>
          <w:color w:val="000000" w:themeColor="text1"/>
        </w:rPr>
        <w:t xml:space="preserve"> </w:t>
      </w:r>
      <w:r w:rsidR="00DC7171" w:rsidRPr="0064704A">
        <w:rPr>
          <w:color w:val="000000" w:themeColor="text1"/>
        </w:rPr>
        <w:t>(</w:t>
      </w:r>
      <w:r w:rsidR="00735C80" w:rsidRPr="0064704A">
        <w:rPr>
          <w:color w:val="000000" w:themeColor="text1"/>
        </w:rPr>
        <w:t>Vincent C. Alexander,</w:t>
      </w:r>
      <w:r w:rsidR="00DC7171" w:rsidRPr="0064704A">
        <w:rPr>
          <w:color w:val="000000" w:themeColor="text1"/>
          <w:lang w:val="x-none"/>
        </w:rPr>
        <w:t xml:space="preserve"> Practice Commentaries, McKinney’s Cons Laws of NY, Book 7B, CPLR </w:t>
      </w:r>
      <w:r w:rsidR="00DC7171" w:rsidRPr="0064704A">
        <w:rPr>
          <w:color w:val="000000" w:themeColor="text1"/>
        </w:rPr>
        <w:t>4541</w:t>
      </w:r>
      <w:r w:rsidR="00172386" w:rsidRPr="0064704A">
        <w:rPr>
          <w:color w:val="000000" w:themeColor="text1"/>
        </w:rPr>
        <w:t xml:space="preserve"> at 778-779 [2007 ed]</w:t>
      </w:r>
      <w:r w:rsidR="00924D57" w:rsidRPr="0064704A">
        <w:rPr>
          <w:color w:val="000000" w:themeColor="text1"/>
        </w:rPr>
        <w:t>)</w:t>
      </w:r>
      <w:r w:rsidR="00DC7171" w:rsidRPr="0064704A">
        <w:rPr>
          <w:color w:val="000000" w:themeColor="text1"/>
        </w:rPr>
        <w:t>.</w:t>
      </w:r>
      <w:r w:rsidR="00392F94" w:rsidRPr="0064704A">
        <w:rPr>
          <w:color w:val="000000" w:themeColor="text1"/>
        </w:rPr>
        <w:t xml:space="preserve"> </w:t>
      </w:r>
      <w:r w:rsidR="00897A3F" w:rsidRPr="0064704A">
        <w:rPr>
          <w:color w:val="000000" w:themeColor="text1"/>
        </w:rPr>
        <w:t>The jurisdiction of a New York</w:t>
      </w:r>
      <w:r w:rsidR="00624340" w:rsidRPr="0064704A">
        <w:rPr>
          <w:color w:val="000000" w:themeColor="text1"/>
        </w:rPr>
        <w:t xml:space="preserve"> </w:t>
      </w:r>
      <w:r w:rsidR="00897A3F" w:rsidRPr="0064704A">
        <w:rPr>
          <w:color w:val="000000" w:themeColor="text1"/>
        </w:rPr>
        <w:t>justice of the peace, however, is subject to judicial notice.</w:t>
      </w:r>
      <w:r w:rsidR="001C3D70" w:rsidRPr="0064704A">
        <w:rPr>
          <w:color w:val="000000" w:themeColor="text1"/>
        </w:rPr>
        <w:t xml:space="preserve"> </w:t>
      </w:r>
      <w:r w:rsidR="005B49DE" w:rsidRPr="0064704A">
        <w:rPr>
          <w:color w:val="000000" w:themeColor="text1"/>
        </w:rPr>
        <w:t>(</w:t>
      </w:r>
      <w:r w:rsidR="00DF3B0E" w:rsidRPr="0064704A">
        <w:rPr>
          <w:i/>
          <w:iCs/>
          <w:color w:val="000000" w:themeColor="text1"/>
        </w:rPr>
        <w:t>Id.</w:t>
      </w:r>
      <w:r w:rsidR="005B49DE" w:rsidRPr="0064704A">
        <w:rPr>
          <w:color w:val="000000" w:themeColor="text1"/>
        </w:rPr>
        <w:t>)</w:t>
      </w:r>
    </w:p>
    <w:p w14:paraId="14FBB02D" w14:textId="77777777" w:rsidR="00E72752" w:rsidRPr="0064704A" w:rsidRDefault="00E72752" w:rsidP="0064704A">
      <w:pPr>
        <w:spacing w:before="0"/>
        <w:jc w:val="both"/>
        <w:rPr>
          <w:color w:val="000000" w:themeColor="text1"/>
        </w:rPr>
      </w:pPr>
    </w:p>
    <w:p w14:paraId="357A2D49" w14:textId="661A7301" w:rsidR="009953E1" w:rsidRPr="0064704A" w:rsidRDefault="0064704A" w:rsidP="0064704A">
      <w:pPr>
        <w:tabs>
          <w:tab w:val="left" w:pos="720"/>
        </w:tabs>
        <w:spacing w:before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9953E1" w:rsidRPr="0007485A">
        <w:rPr>
          <w:color w:val="000000" w:themeColor="text1"/>
        </w:rPr>
        <w:t>While</w:t>
      </w:r>
      <w:r w:rsidR="009953E1" w:rsidRPr="0064704A">
        <w:rPr>
          <w:color w:val="000000" w:themeColor="text1"/>
        </w:rPr>
        <w:t xml:space="preserve"> the </w:t>
      </w:r>
      <w:r w:rsidR="005F503C" w:rsidRPr="0064704A">
        <w:rPr>
          <w:color w:val="000000" w:themeColor="text1"/>
        </w:rPr>
        <w:t xml:space="preserve">properly </w:t>
      </w:r>
      <w:r w:rsidR="009953E1" w:rsidRPr="0064704A">
        <w:rPr>
          <w:color w:val="000000" w:themeColor="text1"/>
        </w:rPr>
        <w:t xml:space="preserve">certified </w:t>
      </w:r>
      <w:r w:rsidR="005F503C" w:rsidRPr="0064704A">
        <w:rPr>
          <w:color w:val="000000" w:themeColor="text1"/>
        </w:rPr>
        <w:t>transcript</w:t>
      </w:r>
      <w:r w:rsidR="009953E1" w:rsidRPr="0064704A">
        <w:rPr>
          <w:color w:val="000000" w:themeColor="text1"/>
        </w:rPr>
        <w:t xml:space="preserve"> is admissible </w:t>
      </w:r>
      <w:r w:rsidR="00E418AD" w:rsidRPr="0064704A">
        <w:rPr>
          <w:color w:val="000000" w:themeColor="text1"/>
        </w:rPr>
        <w:t xml:space="preserve">as an exception to the rule excluding hearsay and is </w:t>
      </w:r>
      <w:r w:rsidR="009953E1" w:rsidRPr="0064704A">
        <w:rPr>
          <w:color w:val="000000" w:themeColor="text1"/>
        </w:rPr>
        <w:t>“prima facie</w:t>
      </w:r>
      <w:r w:rsidR="00E418AD" w:rsidRPr="0064704A">
        <w:rPr>
          <w:color w:val="000000" w:themeColor="text1"/>
        </w:rPr>
        <w:t xml:space="preserve"> </w:t>
      </w:r>
      <w:r w:rsidR="00EE1293" w:rsidRPr="0064704A">
        <w:rPr>
          <w:color w:val="000000" w:themeColor="text1"/>
        </w:rPr>
        <w:t>evidence</w:t>
      </w:r>
      <w:r w:rsidR="00A94E01" w:rsidRPr="0064704A">
        <w:rPr>
          <w:color w:val="000000" w:themeColor="text1"/>
        </w:rPr>
        <w:t>,” an opposing party may introduce</w:t>
      </w:r>
      <w:r w:rsidR="007333CC" w:rsidRPr="0064704A">
        <w:rPr>
          <w:color w:val="000000" w:themeColor="text1"/>
        </w:rPr>
        <w:t xml:space="preserve"> evidence to </w:t>
      </w:r>
      <w:r w:rsidR="009953E1" w:rsidRPr="0064704A">
        <w:rPr>
          <w:color w:val="000000" w:themeColor="text1"/>
        </w:rPr>
        <w:t xml:space="preserve">rebut </w:t>
      </w:r>
      <w:r w:rsidR="00485F97" w:rsidRPr="0064704A">
        <w:rPr>
          <w:color w:val="000000" w:themeColor="text1"/>
        </w:rPr>
        <w:t xml:space="preserve">the </w:t>
      </w:r>
      <w:r w:rsidR="009953E1" w:rsidRPr="0064704A">
        <w:rPr>
          <w:color w:val="000000" w:themeColor="text1"/>
        </w:rPr>
        <w:t>accuracy</w:t>
      </w:r>
      <w:r w:rsidR="0095082B" w:rsidRPr="0064704A">
        <w:rPr>
          <w:color w:val="000000" w:themeColor="text1"/>
        </w:rPr>
        <w:t xml:space="preserve"> of the </w:t>
      </w:r>
      <w:r w:rsidR="00485F97" w:rsidRPr="0064704A">
        <w:rPr>
          <w:color w:val="000000" w:themeColor="text1"/>
        </w:rPr>
        <w:t>transcript</w:t>
      </w:r>
      <w:r w:rsidR="009953E1" w:rsidRPr="0064704A">
        <w:rPr>
          <w:color w:val="000000" w:themeColor="text1"/>
        </w:rPr>
        <w:t xml:space="preserve"> o</w:t>
      </w:r>
      <w:r w:rsidR="004F7601" w:rsidRPr="0064704A">
        <w:rPr>
          <w:color w:val="000000" w:themeColor="text1"/>
        </w:rPr>
        <w:t>r otherwise to affect the weight of the</w:t>
      </w:r>
      <w:r w:rsidR="009953E1" w:rsidRPr="0064704A">
        <w:rPr>
          <w:color w:val="000000" w:themeColor="text1"/>
        </w:rPr>
        <w:t xml:space="preserve"> evidence.</w:t>
      </w:r>
      <w:r w:rsidR="00883278" w:rsidRPr="0064704A">
        <w:rPr>
          <w:color w:val="000000" w:themeColor="text1"/>
        </w:rPr>
        <w:t xml:space="preserve"> </w:t>
      </w:r>
      <w:r w:rsidR="009953E1" w:rsidRPr="0064704A">
        <w:rPr>
          <w:color w:val="000000" w:themeColor="text1"/>
        </w:rPr>
        <w:t>(</w:t>
      </w:r>
      <w:r w:rsidR="009953E1" w:rsidRPr="0064704A">
        <w:rPr>
          <w:i/>
          <w:iCs/>
          <w:color w:val="000000" w:themeColor="text1"/>
        </w:rPr>
        <w:t>Cf.</w:t>
      </w:r>
      <w:r w:rsidR="009953E1" w:rsidRPr="0064704A">
        <w:rPr>
          <w:color w:val="000000" w:themeColor="text1"/>
        </w:rPr>
        <w:t xml:space="preserve"> </w:t>
      </w:r>
      <w:r w:rsidR="00AE3303" w:rsidRPr="0064704A">
        <w:rPr>
          <w:i/>
          <w:iCs/>
          <w:color w:val="000000" w:themeColor="text1"/>
        </w:rPr>
        <w:t>Berman v Golden</w:t>
      </w:r>
      <w:r w:rsidR="00AE3303" w:rsidRPr="0064704A">
        <w:rPr>
          <w:color w:val="000000" w:themeColor="text1"/>
        </w:rPr>
        <w:t>, 131 AD2d 416, 417 [2d Dept 1987] [the terminology “prima facie evidence” in CPLR 4522</w:t>
      </w:r>
      <w:r w:rsidR="000B1514" w:rsidRPr="0064704A">
        <w:rPr>
          <w:color w:val="000000" w:themeColor="text1"/>
        </w:rPr>
        <w:t xml:space="preserve"> </w:t>
      </w:r>
      <w:r w:rsidR="00AE3303" w:rsidRPr="0064704A">
        <w:rPr>
          <w:color w:val="000000" w:themeColor="text1"/>
        </w:rPr>
        <w:t>(</w:t>
      </w:r>
      <w:r w:rsidR="00006FB3" w:rsidRPr="0064704A">
        <w:rPr>
          <w:color w:val="000000" w:themeColor="text1"/>
        </w:rPr>
        <w:t>ancient filed</w:t>
      </w:r>
      <w:r w:rsidR="00AE3303" w:rsidRPr="0064704A">
        <w:rPr>
          <w:color w:val="000000" w:themeColor="text1"/>
        </w:rPr>
        <w:t xml:space="preserve"> maps, surveys and records affecting real property) created a</w:t>
      </w:r>
      <w:r w:rsidR="000B1514" w:rsidRPr="0064704A">
        <w:rPr>
          <w:color w:val="000000" w:themeColor="text1"/>
        </w:rPr>
        <w:t xml:space="preserve"> </w:t>
      </w:r>
      <w:r w:rsidR="00AE3303" w:rsidRPr="0064704A">
        <w:rPr>
          <w:color w:val="000000" w:themeColor="text1"/>
        </w:rPr>
        <w:t>rebuttable presumption of the accuracy of the documents]</w:t>
      </w:r>
      <w:r w:rsidR="002A1FC2" w:rsidRPr="0064704A">
        <w:rPr>
          <w:color w:val="000000" w:themeColor="text1"/>
        </w:rPr>
        <w:t xml:space="preserve">; </w:t>
      </w:r>
      <w:r w:rsidR="002A1FC2" w:rsidRPr="0064704A">
        <w:rPr>
          <w:i/>
          <w:iCs/>
          <w:color w:val="000000" w:themeColor="text1"/>
        </w:rPr>
        <w:t>s</w:t>
      </w:r>
      <w:r w:rsidR="00AE3303" w:rsidRPr="0064704A">
        <w:rPr>
          <w:i/>
          <w:iCs/>
          <w:color w:val="000000" w:themeColor="text1"/>
        </w:rPr>
        <w:t>ee</w:t>
      </w:r>
      <w:r w:rsidR="00AE3303" w:rsidRPr="0064704A">
        <w:rPr>
          <w:color w:val="000000" w:themeColor="text1"/>
        </w:rPr>
        <w:t xml:space="preserve"> Vincent C.</w:t>
      </w:r>
      <w:r w:rsidR="00F20E4B" w:rsidRPr="0064704A">
        <w:rPr>
          <w:color w:val="000000" w:themeColor="text1"/>
        </w:rPr>
        <w:t xml:space="preserve"> </w:t>
      </w:r>
      <w:r w:rsidR="00AE3303" w:rsidRPr="0064704A">
        <w:rPr>
          <w:color w:val="000000" w:themeColor="text1"/>
        </w:rPr>
        <w:t>Alexander, Practice Commentaries, McKinney’s Cons Laws of NY, Book 7B,</w:t>
      </w:r>
      <w:r w:rsidR="00F20E4B" w:rsidRPr="0064704A">
        <w:rPr>
          <w:color w:val="000000" w:themeColor="text1"/>
        </w:rPr>
        <w:t xml:space="preserve"> </w:t>
      </w:r>
      <w:r w:rsidR="00AE3303" w:rsidRPr="0064704A">
        <w:rPr>
          <w:color w:val="000000" w:themeColor="text1"/>
        </w:rPr>
        <w:t>CPLR</w:t>
      </w:r>
      <w:r w:rsidR="0000110B" w:rsidRPr="0064704A">
        <w:rPr>
          <w:color w:val="000000" w:themeColor="text1"/>
        </w:rPr>
        <w:t xml:space="preserve"> </w:t>
      </w:r>
      <w:r w:rsidR="00AE3303" w:rsidRPr="0064704A">
        <w:rPr>
          <w:color w:val="000000" w:themeColor="text1"/>
        </w:rPr>
        <w:t>C4518:9.)</w:t>
      </w:r>
    </w:p>
    <w:sectPr w:rsidR="009953E1" w:rsidRPr="0064704A" w:rsidSect="00271926">
      <w:footerReference w:type="default" r:id="rId8"/>
      <w:pgSz w:w="12240" w:h="15840"/>
      <w:pgMar w:top="1080" w:right="2160" w:bottom="108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36C6C" w14:textId="77777777" w:rsidR="007B159E" w:rsidRDefault="007B159E" w:rsidP="00CD600C">
      <w:pPr>
        <w:spacing w:before="0"/>
      </w:pPr>
      <w:r>
        <w:separator/>
      </w:r>
    </w:p>
  </w:endnote>
  <w:endnote w:type="continuationSeparator" w:id="0">
    <w:p w14:paraId="23932633" w14:textId="77777777" w:rsidR="007B159E" w:rsidRDefault="007B159E" w:rsidP="00CD600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8969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7C3F2D" w14:textId="58BD8E1A" w:rsidR="0064704A" w:rsidRDefault="006470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28E5E" w14:textId="77777777" w:rsidR="007B159E" w:rsidRDefault="007B159E" w:rsidP="00CD600C">
      <w:pPr>
        <w:spacing w:before="0"/>
      </w:pPr>
      <w:r>
        <w:separator/>
      </w:r>
    </w:p>
  </w:footnote>
  <w:footnote w:type="continuationSeparator" w:id="0">
    <w:p w14:paraId="70DF9754" w14:textId="77777777" w:rsidR="007B159E" w:rsidRDefault="007B159E" w:rsidP="00CD600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06B0F"/>
    <w:multiLevelType w:val="hybridMultilevel"/>
    <w:tmpl w:val="7CF8A328"/>
    <w:lvl w:ilvl="0" w:tplc="6960090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F82FD8"/>
    <w:multiLevelType w:val="hybridMultilevel"/>
    <w:tmpl w:val="8B7CAA3A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87062B"/>
    <w:multiLevelType w:val="multilevel"/>
    <w:tmpl w:val="A76C5C3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373385003">
    <w:abstractNumId w:val="0"/>
  </w:num>
  <w:num w:numId="2" w16cid:durableId="1584946063">
    <w:abstractNumId w:val="1"/>
  </w:num>
  <w:num w:numId="3" w16cid:durableId="10021951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QyNLE0MjI1sDA1MzFT0lEKTi0uzszPAykwqgUARC4n7CwAAAA="/>
  </w:docVars>
  <w:rsids>
    <w:rsidRoot w:val="00AB5857"/>
    <w:rsid w:val="0000110B"/>
    <w:rsid w:val="00006FB3"/>
    <w:rsid w:val="000115BE"/>
    <w:rsid w:val="00015076"/>
    <w:rsid w:val="00070447"/>
    <w:rsid w:val="0007485A"/>
    <w:rsid w:val="000B1514"/>
    <w:rsid w:val="000D09FD"/>
    <w:rsid w:val="00134A6E"/>
    <w:rsid w:val="00135F1A"/>
    <w:rsid w:val="00172386"/>
    <w:rsid w:val="001A581B"/>
    <w:rsid w:val="001C3D70"/>
    <w:rsid w:val="001D1AB5"/>
    <w:rsid w:val="001F4BB6"/>
    <w:rsid w:val="00236551"/>
    <w:rsid w:val="00254815"/>
    <w:rsid w:val="00271926"/>
    <w:rsid w:val="002A1FC2"/>
    <w:rsid w:val="003116D2"/>
    <w:rsid w:val="00327709"/>
    <w:rsid w:val="00341E25"/>
    <w:rsid w:val="00356418"/>
    <w:rsid w:val="00363B11"/>
    <w:rsid w:val="00392F94"/>
    <w:rsid w:val="003B4172"/>
    <w:rsid w:val="0041402B"/>
    <w:rsid w:val="00485DE4"/>
    <w:rsid w:val="00485F97"/>
    <w:rsid w:val="0049550B"/>
    <w:rsid w:val="004F733F"/>
    <w:rsid w:val="004F7601"/>
    <w:rsid w:val="00534845"/>
    <w:rsid w:val="005403EB"/>
    <w:rsid w:val="00557BB5"/>
    <w:rsid w:val="005847D7"/>
    <w:rsid w:val="00585C13"/>
    <w:rsid w:val="005A24AC"/>
    <w:rsid w:val="005B49DE"/>
    <w:rsid w:val="005B5702"/>
    <w:rsid w:val="005F223E"/>
    <w:rsid w:val="005F3C23"/>
    <w:rsid w:val="005F503C"/>
    <w:rsid w:val="00600CA5"/>
    <w:rsid w:val="00624340"/>
    <w:rsid w:val="0064704A"/>
    <w:rsid w:val="0067621E"/>
    <w:rsid w:val="0067671A"/>
    <w:rsid w:val="006C54AB"/>
    <w:rsid w:val="006D3D1C"/>
    <w:rsid w:val="006F251D"/>
    <w:rsid w:val="006F6B73"/>
    <w:rsid w:val="007333CC"/>
    <w:rsid w:val="00733686"/>
    <w:rsid w:val="00735C80"/>
    <w:rsid w:val="0074000E"/>
    <w:rsid w:val="007443F0"/>
    <w:rsid w:val="007710E2"/>
    <w:rsid w:val="00784B11"/>
    <w:rsid w:val="00792118"/>
    <w:rsid w:val="00792FA8"/>
    <w:rsid w:val="007B159E"/>
    <w:rsid w:val="00806778"/>
    <w:rsid w:val="0085451C"/>
    <w:rsid w:val="00854E53"/>
    <w:rsid w:val="00870DA6"/>
    <w:rsid w:val="008713CE"/>
    <w:rsid w:val="00883278"/>
    <w:rsid w:val="00887EA9"/>
    <w:rsid w:val="00897A3F"/>
    <w:rsid w:val="008A0A4D"/>
    <w:rsid w:val="008A2C16"/>
    <w:rsid w:val="008A335B"/>
    <w:rsid w:val="008F1441"/>
    <w:rsid w:val="008F19E1"/>
    <w:rsid w:val="008F4156"/>
    <w:rsid w:val="00914688"/>
    <w:rsid w:val="00923430"/>
    <w:rsid w:val="00924D57"/>
    <w:rsid w:val="00937B01"/>
    <w:rsid w:val="0095082B"/>
    <w:rsid w:val="009953E1"/>
    <w:rsid w:val="009A0BD3"/>
    <w:rsid w:val="009E3BB2"/>
    <w:rsid w:val="009E6219"/>
    <w:rsid w:val="009F00D8"/>
    <w:rsid w:val="009F0D63"/>
    <w:rsid w:val="00A07967"/>
    <w:rsid w:val="00A8063C"/>
    <w:rsid w:val="00A94E01"/>
    <w:rsid w:val="00AB5857"/>
    <w:rsid w:val="00AD48FC"/>
    <w:rsid w:val="00AE0F43"/>
    <w:rsid w:val="00AE3303"/>
    <w:rsid w:val="00AF7BC7"/>
    <w:rsid w:val="00B01D06"/>
    <w:rsid w:val="00B30E13"/>
    <w:rsid w:val="00B344F9"/>
    <w:rsid w:val="00B742A7"/>
    <w:rsid w:val="00B87DD5"/>
    <w:rsid w:val="00BB7D65"/>
    <w:rsid w:val="00BD239C"/>
    <w:rsid w:val="00C1721E"/>
    <w:rsid w:val="00C6336A"/>
    <w:rsid w:val="00C92879"/>
    <w:rsid w:val="00CB4027"/>
    <w:rsid w:val="00CD600C"/>
    <w:rsid w:val="00D21FE0"/>
    <w:rsid w:val="00D6706F"/>
    <w:rsid w:val="00D71943"/>
    <w:rsid w:val="00D75C12"/>
    <w:rsid w:val="00DB589E"/>
    <w:rsid w:val="00DC7171"/>
    <w:rsid w:val="00DF326D"/>
    <w:rsid w:val="00DF3B0E"/>
    <w:rsid w:val="00E1526C"/>
    <w:rsid w:val="00E418AD"/>
    <w:rsid w:val="00E72752"/>
    <w:rsid w:val="00EA7335"/>
    <w:rsid w:val="00EB05F0"/>
    <w:rsid w:val="00EC22A3"/>
    <w:rsid w:val="00EC60F8"/>
    <w:rsid w:val="00ED1AF6"/>
    <w:rsid w:val="00EE1293"/>
    <w:rsid w:val="00F13F07"/>
    <w:rsid w:val="00F20E4B"/>
    <w:rsid w:val="00FE5F26"/>
    <w:rsid w:val="00FF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C8C0E"/>
  <w15:chartTrackingRefBased/>
  <w15:docId w15:val="{2DA061FF-D1E3-4823-9EDF-C17AE3AF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uiPriority w:val="99"/>
    <w:rsid w:val="006F6B73"/>
  </w:style>
  <w:style w:type="paragraph" w:styleId="Index1">
    <w:name w:val="index 1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hanging="720"/>
    </w:pPr>
    <w:rPr>
      <w:rFonts w:eastAsia="Times New Roman"/>
    </w:rPr>
  </w:style>
  <w:style w:type="paragraph" w:styleId="Index2">
    <w:name w:val="index 2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/>
    </w:pPr>
    <w:rPr>
      <w:rFonts w:eastAsia="Times New Roman"/>
    </w:rPr>
  </w:style>
  <w:style w:type="paragraph" w:styleId="TOC1">
    <w:name w:val="toc 1"/>
    <w:basedOn w:val="Normal"/>
    <w:next w:val="Normal"/>
    <w:uiPriority w:val="99"/>
    <w:rsid w:val="006F6B73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rFonts w:eastAsia="Times New Roman"/>
    </w:rPr>
  </w:style>
  <w:style w:type="paragraph" w:styleId="TOC2">
    <w:name w:val="toc 2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right="720"/>
    </w:pPr>
    <w:rPr>
      <w:rFonts w:eastAsia="Times New Roman"/>
    </w:rPr>
  </w:style>
  <w:style w:type="paragraph" w:styleId="TOC3">
    <w:name w:val="toc 3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right="720"/>
    </w:pPr>
    <w:rPr>
      <w:rFonts w:eastAsia="Times New Roman"/>
    </w:rPr>
  </w:style>
  <w:style w:type="paragraph" w:styleId="TOC4">
    <w:name w:val="toc 4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right="720"/>
    </w:pPr>
    <w:rPr>
      <w:rFonts w:eastAsia="Times New Roman"/>
    </w:rPr>
  </w:style>
  <w:style w:type="paragraph" w:styleId="TOC5">
    <w:name w:val="toc 5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right="720"/>
    </w:pPr>
    <w:rPr>
      <w:rFonts w:eastAsia="Times New Roman"/>
    </w:rPr>
  </w:style>
  <w:style w:type="paragraph" w:styleId="TOC6">
    <w:name w:val="toc 6"/>
    <w:basedOn w:val="Normal"/>
    <w:next w:val="Normal"/>
    <w:uiPriority w:val="99"/>
    <w:rsid w:val="006F6B73"/>
    <w:pPr>
      <w:tabs>
        <w:tab w:val="right" w:pos="9360"/>
      </w:tabs>
      <w:suppressAutoHyphens/>
      <w:spacing w:line="240" w:lineRule="atLeast"/>
      <w:ind w:left="720" w:hanging="720"/>
    </w:pPr>
    <w:rPr>
      <w:rFonts w:eastAsia="Times New Roman"/>
    </w:rPr>
  </w:style>
  <w:style w:type="paragraph" w:styleId="TOC7">
    <w:name w:val="toc 7"/>
    <w:basedOn w:val="Normal"/>
    <w:next w:val="Normal"/>
    <w:uiPriority w:val="99"/>
    <w:rsid w:val="006F6B73"/>
    <w:pPr>
      <w:suppressAutoHyphens/>
      <w:spacing w:line="240" w:lineRule="atLeast"/>
      <w:ind w:left="720" w:hanging="720"/>
    </w:pPr>
    <w:rPr>
      <w:rFonts w:eastAsia="Times New Roman"/>
    </w:rPr>
  </w:style>
  <w:style w:type="paragraph" w:styleId="TOC8">
    <w:name w:val="toc 8"/>
    <w:basedOn w:val="Normal"/>
    <w:next w:val="Normal"/>
    <w:uiPriority w:val="99"/>
    <w:rsid w:val="006F6B73"/>
    <w:pPr>
      <w:tabs>
        <w:tab w:val="right" w:pos="9360"/>
      </w:tabs>
      <w:suppressAutoHyphens/>
      <w:spacing w:line="240" w:lineRule="atLeast"/>
      <w:ind w:left="720" w:hanging="720"/>
    </w:pPr>
    <w:rPr>
      <w:rFonts w:eastAsia="Times New Roman"/>
    </w:rPr>
  </w:style>
  <w:style w:type="paragraph" w:styleId="TOC9">
    <w:name w:val="toc 9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hanging="720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rsid w:val="006F6B73"/>
    <w:rPr>
      <w:rFonts w:eastAsia="Times New Roman"/>
    </w:rPr>
  </w:style>
  <w:style w:type="character" w:customStyle="1" w:styleId="FootnoteTextChar">
    <w:name w:val="Footnote Text Char"/>
    <w:link w:val="FootnoteText"/>
    <w:uiPriority w:val="99"/>
    <w:rsid w:val="006F6B73"/>
    <w:rPr>
      <w:rFonts w:ascii="Courier New" w:eastAsia="Times New Roman" w:hAnsi="Courier New" w:cs="Courier New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6B73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6F6B73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F6B73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6F6B73"/>
    <w:rPr>
      <w:rFonts w:ascii="Courier New" w:eastAsia="Times New Roman" w:hAnsi="Courier New" w:cs="Courier New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6F6B73"/>
    <w:rPr>
      <w:rFonts w:eastAsia="Times New Roman"/>
    </w:rPr>
  </w:style>
  <w:style w:type="character" w:styleId="FootnoteReference">
    <w:name w:val="footnote reference"/>
    <w:uiPriority w:val="99"/>
    <w:rsid w:val="006F6B73"/>
    <w:rPr>
      <w:vertAlign w:val="superscript"/>
    </w:rPr>
  </w:style>
  <w:style w:type="character" w:styleId="EndnoteReference">
    <w:name w:val="endnote reference"/>
    <w:uiPriority w:val="99"/>
    <w:rsid w:val="006F6B7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6F6B73"/>
    <w:rPr>
      <w:rFonts w:eastAsia="Times New Roman"/>
    </w:rPr>
  </w:style>
  <w:style w:type="character" w:customStyle="1" w:styleId="EndnoteTextChar">
    <w:name w:val="Endnote Text Char"/>
    <w:link w:val="EndnoteText"/>
    <w:uiPriority w:val="99"/>
    <w:rsid w:val="006F6B73"/>
    <w:rPr>
      <w:rFonts w:ascii="Courier New" w:eastAsia="Times New Roman" w:hAnsi="Courier New" w:cs="Courier New"/>
      <w:sz w:val="24"/>
      <w:szCs w:val="24"/>
    </w:rPr>
  </w:style>
  <w:style w:type="paragraph" w:styleId="TOAHeading">
    <w:name w:val="toa heading"/>
    <w:basedOn w:val="Normal"/>
    <w:next w:val="Normal"/>
    <w:uiPriority w:val="99"/>
    <w:rsid w:val="006F6B73"/>
    <w:pPr>
      <w:tabs>
        <w:tab w:val="right" w:pos="9360"/>
      </w:tabs>
      <w:suppressAutoHyphens/>
      <w:spacing w:line="240" w:lineRule="atLeast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B58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60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0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0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0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0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49973-B04C-4F55-8A71-0D393D65B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Donnino</dc:creator>
  <cp:keywords/>
  <dc:description/>
  <cp:lastModifiedBy>Bill Donnino</cp:lastModifiedBy>
  <cp:revision>111</cp:revision>
  <cp:lastPrinted>2022-11-09T16:40:00Z</cp:lastPrinted>
  <dcterms:created xsi:type="dcterms:W3CDTF">2022-05-14T02:59:00Z</dcterms:created>
  <dcterms:modified xsi:type="dcterms:W3CDTF">2022-11-21T22:51:00Z</dcterms:modified>
</cp:coreProperties>
</file>