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A40A" w14:textId="2AFD7906" w:rsidR="00226E8A" w:rsidRPr="00DF0140" w:rsidRDefault="00226E8A" w:rsidP="00635554">
      <w:pPr>
        <w:shd w:val="clear" w:color="auto" w:fill="FFFFFF"/>
        <w:spacing w:before="0"/>
        <w:jc w:val="both"/>
        <w:rPr>
          <w:rFonts w:eastAsia="Times New Roman"/>
          <w:b/>
          <w:bCs/>
          <w:sz w:val="28"/>
          <w:szCs w:val="28"/>
        </w:rPr>
      </w:pPr>
      <w:r w:rsidRPr="00DF0140">
        <w:rPr>
          <w:rFonts w:eastAsia="Times New Roman"/>
          <w:b/>
          <w:bCs/>
          <w:sz w:val="28"/>
          <w:szCs w:val="28"/>
        </w:rPr>
        <w:t>8.</w:t>
      </w:r>
      <w:r w:rsidR="00E52BF3" w:rsidRPr="00DF0140">
        <w:rPr>
          <w:rFonts w:eastAsia="Times New Roman"/>
          <w:b/>
          <w:bCs/>
          <w:sz w:val="28"/>
          <w:szCs w:val="28"/>
        </w:rPr>
        <w:t>4</w:t>
      </w:r>
      <w:r w:rsidR="00DC4F51">
        <w:rPr>
          <w:rFonts w:eastAsia="Times New Roman"/>
          <w:b/>
          <w:bCs/>
          <w:sz w:val="28"/>
          <w:szCs w:val="28"/>
        </w:rPr>
        <w:t>7.</w:t>
      </w:r>
      <w:r w:rsidRPr="00DF0140">
        <w:rPr>
          <w:rFonts w:eastAsia="Times New Roman"/>
          <w:b/>
          <w:bCs/>
          <w:sz w:val="28"/>
          <w:szCs w:val="28"/>
        </w:rPr>
        <w:t xml:space="preserve"> Verbal Act</w:t>
      </w:r>
    </w:p>
    <w:p w14:paraId="62BC2F6D" w14:textId="77777777" w:rsidR="00226E8A" w:rsidRPr="00DF0140" w:rsidRDefault="00226E8A" w:rsidP="00635554">
      <w:pPr>
        <w:shd w:val="clear" w:color="auto" w:fill="FFFFFF"/>
        <w:spacing w:before="0"/>
        <w:jc w:val="both"/>
        <w:rPr>
          <w:rFonts w:eastAsia="Times New Roman"/>
          <w:b/>
          <w:bCs/>
          <w:sz w:val="28"/>
          <w:szCs w:val="28"/>
        </w:rPr>
      </w:pPr>
    </w:p>
    <w:p w14:paraId="22CA8F64" w14:textId="668AACFF" w:rsidR="0023520D" w:rsidRPr="00DF0140" w:rsidRDefault="000A6D22" w:rsidP="00773267">
      <w:pPr>
        <w:shd w:val="clear" w:color="auto" w:fill="FFFFFF"/>
        <w:spacing w:before="0"/>
        <w:ind w:left="720" w:right="720"/>
        <w:jc w:val="both"/>
        <w:rPr>
          <w:rFonts w:eastAsia="Times New Roman"/>
          <w:b/>
          <w:bCs/>
          <w:sz w:val="28"/>
          <w:szCs w:val="28"/>
        </w:rPr>
      </w:pPr>
      <w:r w:rsidRPr="00DF0140">
        <w:rPr>
          <w:rFonts w:eastAsia="Times New Roman"/>
          <w:b/>
          <w:bCs/>
          <w:sz w:val="28"/>
          <w:szCs w:val="28"/>
        </w:rPr>
        <w:t>W</w:t>
      </w:r>
      <w:r w:rsidR="00226E8A" w:rsidRPr="00DF0140">
        <w:rPr>
          <w:rFonts w:eastAsia="Times New Roman"/>
          <w:b/>
          <w:bCs/>
          <w:sz w:val="28"/>
          <w:szCs w:val="28"/>
        </w:rPr>
        <w:t xml:space="preserve">hen an act or transaction is itself admissible, statements or declarations </w:t>
      </w:r>
      <w:r w:rsidR="00393CC8" w:rsidRPr="00DF0140">
        <w:rPr>
          <w:rFonts w:eastAsia="Times New Roman"/>
          <w:b/>
          <w:bCs/>
          <w:sz w:val="28"/>
          <w:szCs w:val="28"/>
        </w:rPr>
        <w:t>made</w:t>
      </w:r>
      <w:r w:rsidR="00226E8A" w:rsidRPr="00DF0140">
        <w:rPr>
          <w:rFonts w:eastAsia="Times New Roman"/>
          <w:b/>
          <w:bCs/>
          <w:sz w:val="28"/>
          <w:szCs w:val="28"/>
        </w:rPr>
        <w:t xml:space="preserve"> at th</w:t>
      </w:r>
      <w:r w:rsidR="00393CC8" w:rsidRPr="00DF0140">
        <w:rPr>
          <w:rFonts w:eastAsia="Times New Roman"/>
          <w:b/>
          <w:bCs/>
          <w:sz w:val="28"/>
          <w:szCs w:val="28"/>
        </w:rPr>
        <w:t>at</w:t>
      </w:r>
      <w:r w:rsidR="00226E8A" w:rsidRPr="00DF0140">
        <w:rPr>
          <w:rFonts w:eastAsia="Times New Roman"/>
          <w:b/>
          <w:bCs/>
          <w:sz w:val="28"/>
          <w:szCs w:val="28"/>
        </w:rPr>
        <w:t xml:space="preserve"> time </w:t>
      </w:r>
      <w:r w:rsidR="00BE7D36" w:rsidRPr="00DF0140">
        <w:rPr>
          <w:rFonts w:eastAsia="Times New Roman"/>
          <w:b/>
          <w:bCs/>
          <w:sz w:val="28"/>
          <w:szCs w:val="28"/>
        </w:rPr>
        <w:t>that constitute the act o</w:t>
      </w:r>
      <w:r w:rsidR="009636FE" w:rsidRPr="00DF0140">
        <w:rPr>
          <w:rFonts w:eastAsia="Times New Roman"/>
          <w:b/>
          <w:bCs/>
          <w:sz w:val="28"/>
          <w:szCs w:val="28"/>
        </w:rPr>
        <w:t>r</w:t>
      </w:r>
      <w:r w:rsidR="00BE7D36" w:rsidRPr="00DF0140">
        <w:rPr>
          <w:rFonts w:eastAsia="Times New Roman"/>
          <w:b/>
          <w:bCs/>
          <w:sz w:val="28"/>
          <w:szCs w:val="28"/>
        </w:rPr>
        <w:t xml:space="preserve"> transaction, or are </w:t>
      </w:r>
      <w:r w:rsidR="00226E8A" w:rsidRPr="00DF0140">
        <w:rPr>
          <w:rFonts w:eastAsia="Times New Roman"/>
          <w:b/>
          <w:bCs/>
          <w:sz w:val="28"/>
          <w:szCs w:val="28"/>
        </w:rPr>
        <w:t xml:space="preserve">calculated to explain and elucidate </w:t>
      </w:r>
      <w:r w:rsidR="00FF2BFB" w:rsidRPr="00DF0140">
        <w:rPr>
          <w:rFonts w:eastAsia="Times New Roman"/>
          <w:b/>
          <w:bCs/>
          <w:sz w:val="28"/>
          <w:szCs w:val="28"/>
        </w:rPr>
        <w:t xml:space="preserve">its </w:t>
      </w:r>
      <w:r w:rsidR="00226E8A" w:rsidRPr="00DF0140">
        <w:rPr>
          <w:rFonts w:eastAsia="Times New Roman"/>
          <w:b/>
          <w:bCs/>
          <w:sz w:val="28"/>
          <w:szCs w:val="28"/>
        </w:rPr>
        <w:t>character and quality</w:t>
      </w:r>
      <w:r w:rsidR="00D06187" w:rsidRPr="00DF0140">
        <w:rPr>
          <w:rFonts w:eastAsia="Times New Roman"/>
          <w:b/>
          <w:bCs/>
          <w:sz w:val="28"/>
          <w:szCs w:val="28"/>
        </w:rPr>
        <w:t>,</w:t>
      </w:r>
      <w:r w:rsidR="00226E8A" w:rsidRPr="00DF0140">
        <w:rPr>
          <w:rFonts w:eastAsia="Times New Roman"/>
          <w:b/>
          <w:bCs/>
          <w:sz w:val="28"/>
          <w:szCs w:val="28"/>
        </w:rPr>
        <w:t xml:space="preserve"> and </w:t>
      </w:r>
      <w:r w:rsidR="00402BF0" w:rsidRPr="00DF0140">
        <w:rPr>
          <w:rFonts w:eastAsia="Times New Roman"/>
          <w:b/>
          <w:bCs/>
          <w:sz w:val="28"/>
          <w:szCs w:val="28"/>
        </w:rPr>
        <w:t xml:space="preserve">are </w:t>
      </w:r>
      <w:r w:rsidR="00226E8A" w:rsidRPr="00DF0140">
        <w:rPr>
          <w:rFonts w:eastAsia="Times New Roman"/>
          <w:b/>
          <w:bCs/>
          <w:sz w:val="28"/>
          <w:szCs w:val="28"/>
        </w:rPr>
        <w:t xml:space="preserve">so connected with it as to constitute one </w:t>
      </w:r>
      <w:r w:rsidR="007C2432" w:rsidRPr="00DF0140">
        <w:rPr>
          <w:rFonts w:eastAsia="Times New Roman"/>
          <w:b/>
          <w:bCs/>
          <w:sz w:val="28"/>
          <w:szCs w:val="28"/>
        </w:rPr>
        <w:t xml:space="preserve">act or </w:t>
      </w:r>
      <w:r w:rsidR="00226E8A" w:rsidRPr="00DF0140">
        <w:rPr>
          <w:rFonts w:eastAsia="Times New Roman"/>
          <w:b/>
          <w:bCs/>
          <w:sz w:val="28"/>
          <w:szCs w:val="28"/>
        </w:rPr>
        <w:t>transaction</w:t>
      </w:r>
      <w:r w:rsidR="00D17D62" w:rsidRPr="00DF0140">
        <w:rPr>
          <w:rFonts w:eastAsia="Times New Roman"/>
          <w:b/>
          <w:bCs/>
          <w:sz w:val="28"/>
          <w:szCs w:val="28"/>
        </w:rPr>
        <w:t xml:space="preserve"> </w:t>
      </w:r>
      <w:r w:rsidR="00226E8A" w:rsidRPr="00DF0140">
        <w:rPr>
          <w:rFonts w:eastAsia="Times New Roman"/>
          <w:b/>
          <w:bCs/>
          <w:sz w:val="28"/>
          <w:szCs w:val="28"/>
        </w:rPr>
        <w:t>are admissible a</w:t>
      </w:r>
      <w:r w:rsidR="00FA5F1A" w:rsidRPr="00DF0140">
        <w:rPr>
          <w:rFonts w:eastAsia="Times New Roman"/>
          <w:b/>
          <w:bCs/>
          <w:sz w:val="28"/>
          <w:szCs w:val="28"/>
        </w:rPr>
        <w:t xml:space="preserve">s a </w:t>
      </w:r>
      <w:r w:rsidR="00BA3729" w:rsidRPr="00DF0140">
        <w:rPr>
          <w:rFonts w:eastAsia="Times New Roman"/>
          <w:b/>
          <w:bCs/>
          <w:sz w:val="28"/>
          <w:szCs w:val="28"/>
        </w:rPr>
        <w:t>“</w:t>
      </w:r>
      <w:r w:rsidR="00FA5F1A" w:rsidRPr="00DF0140">
        <w:rPr>
          <w:rFonts w:eastAsia="Times New Roman"/>
          <w:b/>
          <w:bCs/>
          <w:sz w:val="28"/>
          <w:szCs w:val="28"/>
        </w:rPr>
        <w:t>verbal act.</w:t>
      </w:r>
      <w:r w:rsidR="00BA3729" w:rsidRPr="00DF0140">
        <w:rPr>
          <w:rFonts w:eastAsia="Times New Roman"/>
          <w:b/>
          <w:bCs/>
          <w:sz w:val="28"/>
          <w:szCs w:val="28"/>
        </w:rPr>
        <w:t>” A</w:t>
      </w:r>
      <w:r w:rsidR="0058690E" w:rsidRPr="00DF0140">
        <w:rPr>
          <w:rFonts w:eastAsia="Times New Roman"/>
          <w:b/>
          <w:bCs/>
          <w:sz w:val="28"/>
          <w:szCs w:val="28"/>
        </w:rPr>
        <w:t xml:space="preserve"> statement admitted as a</w:t>
      </w:r>
      <w:r w:rsidR="00BA3729" w:rsidRPr="00DF0140">
        <w:rPr>
          <w:rFonts w:eastAsia="Times New Roman"/>
          <w:b/>
          <w:bCs/>
          <w:sz w:val="28"/>
          <w:szCs w:val="28"/>
        </w:rPr>
        <w:t xml:space="preserve"> “verbal act” is not hearsay because it is not admitted for </w:t>
      </w:r>
      <w:r w:rsidR="00E10694" w:rsidRPr="00DF0140">
        <w:rPr>
          <w:rFonts w:eastAsia="Times New Roman"/>
          <w:b/>
          <w:bCs/>
          <w:sz w:val="28"/>
          <w:szCs w:val="28"/>
        </w:rPr>
        <w:t xml:space="preserve">the truth of </w:t>
      </w:r>
      <w:r w:rsidR="001F0A78" w:rsidRPr="00DF0140">
        <w:rPr>
          <w:rFonts w:eastAsia="Times New Roman"/>
          <w:b/>
          <w:bCs/>
          <w:sz w:val="28"/>
          <w:szCs w:val="28"/>
        </w:rPr>
        <w:t>its</w:t>
      </w:r>
      <w:r w:rsidR="00E10694" w:rsidRPr="00DF0140">
        <w:rPr>
          <w:rFonts w:eastAsia="Times New Roman"/>
          <w:b/>
          <w:bCs/>
          <w:sz w:val="28"/>
          <w:szCs w:val="28"/>
        </w:rPr>
        <w:t xml:space="preserve"> assertions, but rather to </w:t>
      </w:r>
      <w:r w:rsidR="00684163" w:rsidRPr="00DF0140">
        <w:rPr>
          <w:rFonts w:eastAsia="Times New Roman"/>
          <w:b/>
          <w:bCs/>
          <w:sz w:val="28"/>
          <w:szCs w:val="28"/>
        </w:rPr>
        <w:t>give significance</w:t>
      </w:r>
      <w:r w:rsidR="003F3825" w:rsidRPr="00DF0140">
        <w:rPr>
          <w:rFonts w:eastAsia="Times New Roman"/>
          <w:b/>
          <w:bCs/>
          <w:sz w:val="28"/>
          <w:szCs w:val="28"/>
        </w:rPr>
        <w:t xml:space="preserve">, legal effect, </w:t>
      </w:r>
      <w:r w:rsidR="00701FB7" w:rsidRPr="00DF0140">
        <w:rPr>
          <w:rFonts w:eastAsia="Times New Roman"/>
          <w:b/>
          <w:bCs/>
          <w:sz w:val="28"/>
          <w:szCs w:val="28"/>
        </w:rPr>
        <w:t>or</w:t>
      </w:r>
      <w:r w:rsidR="00082543" w:rsidRPr="00DF0140">
        <w:rPr>
          <w:rFonts w:eastAsia="Times New Roman"/>
          <w:b/>
          <w:bCs/>
          <w:sz w:val="28"/>
          <w:szCs w:val="28"/>
        </w:rPr>
        <w:t xml:space="preserve"> </w:t>
      </w:r>
      <w:r w:rsidR="00577582" w:rsidRPr="00DF0140">
        <w:rPr>
          <w:rFonts w:eastAsia="Times New Roman"/>
          <w:b/>
          <w:bCs/>
          <w:sz w:val="28"/>
          <w:szCs w:val="28"/>
        </w:rPr>
        <w:t xml:space="preserve">an explanation </w:t>
      </w:r>
      <w:r w:rsidR="0033547A" w:rsidRPr="00DF0140">
        <w:rPr>
          <w:rFonts w:eastAsia="Times New Roman"/>
          <w:b/>
          <w:bCs/>
          <w:sz w:val="28"/>
          <w:szCs w:val="28"/>
        </w:rPr>
        <w:t xml:space="preserve">to the </w:t>
      </w:r>
      <w:r w:rsidR="00ED1BDF" w:rsidRPr="00DF0140">
        <w:rPr>
          <w:rFonts w:eastAsia="Times New Roman"/>
          <w:b/>
          <w:bCs/>
          <w:sz w:val="28"/>
          <w:szCs w:val="28"/>
        </w:rPr>
        <w:t>accompanying</w:t>
      </w:r>
      <w:r w:rsidR="0033547A" w:rsidRPr="00DF0140">
        <w:rPr>
          <w:rFonts w:eastAsia="Times New Roman"/>
          <w:b/>
          <w:bCs/>
          <w:sz w:val="28"/>
          <w:szCs w:val="28"/>
        </w:rPr>
        <w:t xml:space="preserve"> conduct</w:t>
      </w:r>
      <w:r w:rsidR="00061008" w:rsidRPr="00DF0140">
        <w:rPr>
          <w:rFonts w:eastAsia="Times New Roman"/>
          <w:b/>
          <w:bCs/>
          <w:sz w:val="28"/>
          <w:szCs w:val="28"/>
        </w:rPr>
        <w:t>.</w:t>
      </w:r>
    </w:p>
    <w:p w14:paraId="5E474A85" w14:textId="77777777" w:rsidR="00226E8A" w:rsidRPr="00DF0140" w:rsidRDefault="00226E8A" w:rsidP="00635554">
      <w:pPr>
        <w:shd w:val="clear" w:color="auto" w:fill="FFFFFF"/>
        <w:spacing w:before="0"/>
        <w:jc w:val="both"/>
        <w:rPr>
          <w:rFonts w:eastAsia="Times New Roman"/>
          <w:i/>
          <w:iCs/>
          <w:sz w:val="28"/>
          <w:szCs w:val="28"/>
        </w:rPr>
      </w:pPr>
    </w:p>
    <w:p w14:paraId="32A8224C" w14:textId="72F81C01" w:rsidR="00226E8A" w:rsidRPr="00DF0140" w:rsidRDefault="000804DA" w:rsidP="00CA7752">
      <w:pPr>
        <w:shd w:val="clear" w:color="auto" w:fill="FFFFFF"/>
        <w:spacing w:before="0"/>
        <w:jc w:val="center"/>
        <w:rPr>
          <w:rFonts w:eastAsia="Times New Roman"/>
          <w:b/>
          <w:bCs/>
        </w:rPr>
      </w:pPr>
      <w:r w:rsidRPr="00DF0140">
        <w:rPr>
          <w:rFonts w:eastAsia="Times New Roman"/>
          <w:b/>
          <w:bCs/>
        </w:rPr>
        <w:t>Note</w:t>
      </w:r>
    </w:p>
    <w:p w14:paraId="369766FA" w14:textId="77777777" w:rsidR="000804DA" w:rsidRPr="00DF0140" w:rsidRDefault="000804DA" w:rsidP="00635554">
      <w:pPr>
        <w:shd w:val="clear" w:color="auto" w:fill="FFFFFF"/>
        <w:spacing w:before="0"/>
        <w:jc w:val="both"/>
        <w:rPr>
          <w:rFonts w:eastAsia="Times New Roman"/>
        </w:rPr>
      </w:pPr>
    </w:p>
    <w:p w14:paraId="5FCE8D22" w14:textId="7D661EEC" w:rsidR="00471DB6" w:rsidRPr="00AF7CA9" w:rsidRDefault="00B511B3" w:rsidP="00B511B3">
      <w:pPr>
        <w:shd w:val="clear" w:color="auto" w:fill="FFFFFF"/>
        <w:tabs>
          <w:tab w:val="left" w:pos="720"/>
        </w:tabs>
        <w:spacing w:before="0"/>
        <w:rPr>
          <w:rFonts w:eastAsia="Times New Roman"/>
        </w:rPr>
      </w:pPr>
      <w:r>
        <w:rPr>
          <w:rFonts w:eastAsia="Times New Roman"/>
        </w:rPr>
        <w:tab/>
      </w:r>
      <w:r w:rsidR="00CA7752" w:rsidRPr="00AF7CA9">
        <w:rPr>
          <w:rFonts w:eastAsia="Times New Roman"/>
        </w:rPr>
        <w:t>This rule is derived from a series of Court of Appeals cases, beginning with</w:t>
      </w:r>
      <w:r w:rsidR="00CA7752" w:rsidRPr="00AF7CA9">
        <w:rPr>
          <w:rFonts w:eastAsia="Times New Roman"/>
          <w:i/>
          <w:iCs/>
        </w:rPr>
        <w:t xml:space="preserve"> </w:t>
      </w:r>
      <w:r w:rsidR="00EE348E" w:rsidRPr="00AF7CA9">
        <w:rPr>
          <w:rFonts w:eastAsia="Times New Roman"/>
          <w:i/>
          <w:iCs/>
        </w:rPr>
        <w:t>Hine v New York El. R.</w:t>
      </w:r>
      <w:r w:rsidR="002D0CD0" w:rsidRPr="00AF7CA9">
        <w:rPr>
          <w:rFonts w:eastAsia="Times New Roman"/>
          <w:i/>
          <w:iCs/>
        </w:rPr>
        <w:t>R.</w:t>
      </w:r>
      <w:r w:rsidR="00EE348E" w:rsidRPr="00AF7CA9">
        <w:rPr>
          <w:rFonts w:eastAsia="Times New Roman"/>
          <w:i/>
          <w:iCs/>
        </w:rPr>
        <w:t xml:space="preserve"> Co.</w:t>
      </w:r>
      <w:r w:rsidR="00EE348E" w:rsidRPr="00AF7CA9">
        <w:rPr>
          <w:rFonts w:eastAsia="Times New Roman"/>
        </w:rPr>
        <w:t xml:space="preserve"> </w:t>
      </w:r>
      <w:r w:rsidR="006D22CA" w:rsidRPr="00AF7CA9">
        <w:rPr>
          <w:rFonts w:eastAsia="Times New Roman"/>
        </w:rPr>
        <w:t>(</w:t>
      </w:r>
      <w:r w:rsidR="00EE348E" w:rsidRPr="00AF7CA9">
        <w:rPr>
          <w:rFonts w:eastAsia="Times New Roman"/>
        </w:rPr>
        <w:t>149 NY 154, 162 [1896]</w:t>
      </w:r>
      <w:r w:rsidR="006D22CA" w:rsidRPr="00AF7CA9">
        <w:rPr>
          <w:rFonts w:eastAsia="Times New Roman"/>
        </w:rPr>
        <w:t>)</w:t>
      </w:r>
      <w:r w:rsidR="00471DB6" w:rsidRPr="00AF7CA9">
        <w:rPr>
          <w:rFonts w:eastAsia="Times New Roman"/>
        </w:rPr>
        <w:t>:</w:t>
      </w:r>
    </w:p>
    <w:p w14:paraId="078B08CB" w14:textId="77777777" w:rsidR="00471DB6" w:rsidRPr="00AF7CA9" w:rsidRDefault="00471DB6" w:rsidP="00471DB6">
      <w:pPr>
        <w:shd w:val="clear" w:color="auto" w:fill="FFFFFF"/>
        <w:spacing w:before="0"/>
        <w:rPr>
          <w:rFonts w:eastAsia="Times New Roman"/>
        </w:rPr>
      </w:pPr>
    </w:p>
    <w:p w14:paraId="389E3C6A" w14:textId="0D19430D" w:rsidR="00471DB6" w:rsidRPr="00AF7CA9" w:rsidRDefault="00FF23CE" w:rsidP="00B95DC3">
      <w:pPr>
        <w:shd w:val="clear" w:color="auto" w:fill="FFFFFF"/>
        <w:spacing w:before="0"/>
        <w:ind w:left="720" w:right="720"/>
        <w:jc w:val="both"/>
        <w:rPr>
          <w:rFonts w:eastAsia="Times New Roman"/>
        </w:rPr>
      </w:pPr>
      <w:r w:rsidRPr="00AF7CA9">
        <w:rPr>
          <w:rFonts w:eastAsia="Times New Roman"/>
        </w:rPr>
        <w:t>“</w:t>
      </w:r>
      <w:bookmarkStart w:id="0" w:name="_Hlk125033245"/>
      <w:r w:rsidR="002D0CD0" w:rsidRPr="00AF7CA9">
        <w:rPr>
          <w:rFonts w:eastAsia="Times New Roman"/>
        </w:rPr>
        <w:t>[W]</w:t>
      </w:r>
      <w:r w:rsidR="00EE348E" w:rsidRPr="00AF7CA9">
        <w:rPr>
          <w:rFonts w:eastAsia="Times New Roman"/>
        </w:rPr>
        <w:t>hen an act or transaction is itself admissible, statements or declarations of the party at the time, calculated to explain and elucidate the character and quality of the act and so connected with it as to constitute one transaction, and so as to derive credit from the act itself, are admissible as</w:t>
      </w:r>
      <w:bookmarkEnd w:id="0"/>
      <w:r w:rsidR="00EE348E" w:rsidRPr="00AF7CA9">
        <w:rPr>
          <w:rFonts w:eastAsia="Times New Roman"/>
        </w:rPr>
        <w:t xml:space="preserve"> part of the </w:t>
      </w:r>
      <w:r w:rsidR="00EE348E" w:rsidRPr="00AF7CA9">
        <w:rPr>
          <w:rFonts w:eastAsia="Times New Roman"/>
          <w:i/>
          <w:iCs/>
        </w:rPr>
        <w:t>res gestæ</w:t>
      </w:r>
      <w:r w:rsidR="00B95DC3" w:rsidRPr="00AF7CA9">
        <w:rPr>
          <w:rFonts w:eastAsia="Times New Roman"/>
        </w:rPr>
        <w:t>.</w:t>
      </w:r>
      <w:r w:rsidR="00C32546" w:rsidRPr="00AF7CA9">
        <w:rPr>
          <w:rFonts w:eastAsia="Times New Roman"/>
        </w:rPr>
        <w:t>”</w:t>
      </w:r>
    </w:p>
    <w:p w14:paraId="40F62748" w14:textId="77777777" w:rsidR="00471DB6" w:rsidRPr="00AF7CA9" w:rsidRDefault="00471DB6" w:rsidP="00AF7CA9">
      <w:pPr>
        <w:shd w:val="clear" w:color="auto" w:fill="FFFFFF"/>
        <w:spacing w:before="0"/>
        <w:jc w:val="both"/>
        <w:rPr>
          <w:rFonts w:eastAsia="Times New Roman"/>
        </w:rPr>
      </w:pPr>
    </w:p>
    <w:p w14:paraId="3D5DEDA3" w14:textId="0B2F2302" w:rsidR="00471DB6" w:rsidRPr="00AF7CA9" w:rsidRDefault="00A6589E" w:rsidP="00D50516">
      <w:pPr>
        <w:shd w:val="clear" w:color="auto" w:fill="FFFFFF"/>
        <w:spacing w:before="0"/>
        <w:jc w:val="both"/>
        <w:rPr>
          <w:rFonts w:eastAsia="Times New Roman"/>
        </w:rPr>
      </w:pPr>
      <w:r w:rsidRPr="00AF7CA9">
        <w:rPr>
          <w:rFonts w:eastAsia="Times New Roman"/>
        </w:rPr>
        <w:t>“R</w:t>
      </w:r>
      <w:r w:rsidR="00B95DC3" w:rsidRPr="00AF7CA9">
        <w:rPr>
          <w:rFonts w:eastAsia="Times New Roman"/>
        </w:rPr>
        <w:t>es gestae</w:t>
      </w:r>
      <w:r w:rsidR="00BD6773" w:rsidRPr="00AF7CA9">
        <w:rPr>
          <w:rFonts w:eastAsia="Times New Roman"/>
        </w:rPr>
        <w:t>,”</w:t>
      </w:r>
      <w:r w:rsidR="00B95DC3" w:rsidRPr="00AF7CA9">
        <w:rPr>
          <w:rFonts w:eastAsia="Times New Roman"/>
        </w:rPr>
        <w:t xml:space="preserve"> </w:t>
      </w:r>
      <w:r w:rsidR="00CB5C15" w:rsidRPr="00AF7CA9">
        <w:rPr>
          <w:rFonts w:eastAsia="Times New Roman"/>
        </w:rPr>
        <w:t xml:space="preserve">as used in </w:t>
      </w:r>
      <w:r w:rsidR="00CB5C15" w:rsidRPr="00AF7CA9">
        <w:rPr>
          <w:rFonts w:eastAsia="Times New Roman"/>
          <w:i/>
          <w:iCs/>
        </w:rPr>
        <w:t>Hine</w:t>
      </w:r>
      <w:r w:rsidR="00BD6773" w:rsidRPr="00AF7CA9">
        <w:rPr>
          <w:rFonts w:eastAsia="Times New Roman"/>
        </w:rPr>
        <w:t>,</w:t>
      </w:r>
      <w:r w:rsidR="00CB5C15" w:rsidRPr="00AF7CA9">
        <w:rPr>
          <w:rFonts w:eastAsia="Times New Roman"/>
        </w:rPr>
        <w:t xml:space="preserve"> </w:t>
      </w:r>
      <w:r w:rsidRPr="00AF7CA9">
        <w:rPr>
          <w:rFonts w:eastAsia="Times New Roman"/>
        </w:rPr>
        <w:t xml:space="preserve">in </w:t>
      </w:r>
      <w:r w:rsidR="00087EB9" w:rsidRPr="00AF7CA9">
        <w:rPr>
          <w:rFonts w:eastAsia="Times New Roman"/>
        </w:rPr>
        <w:t>modern</w:t>
      </w:r>
      <w:r w:rsidRPr="00AF7CA9">
        <w:rPr>
          <w:rFonts w:eastAsia="Times New Roman"/>
        </w:rPr>
        <w:t xml:space="preserve"> times</w:t>
      </w:r>
      <w:r w:rsidR="002114F3" w:rsidRPr="00AF7CA9">
        <w:rPr>
          <w:rFonts w:eastAsia="Times New Roman"/>
        </w:rPr>
        <w:t>,</w:t>
      </w:r>
      <w:r w:rsidRPr="00AF7CA9">
        <w:rPr>
          <w:rFonts w:eastAsia="Times New Roman"/>
        </w:rPr>
        <w:t xml:space="preserve"> </w:t>
      </w:r>
      <w:r w:rsidR="00CB5C15" w:rsidRPr="00AF7CA9">
        <w:rPr>
          <w:rFonts w:eastAsia="Times New Roman"/>
        </w:rPr>
        <w:t xml:space="preserve">refers specifically to </w:t>
      </w:r>
      <w:r w:rsidR="008C353A" w:rsidRPr="00AF7CA9">
        <w:rPr>
          <w:rFonts w:eastAsia="Times New Roman"/>
        </w:rPr>
        <w:t xml:space="preserve">“verbal acts” </w:t>
      </w:r>
      <w:r w:rsidR="0066322C" w:rsidRPr="00AF7CA9">
        <w:rPr>
          <w:rFonts w:eastAsia="Times New Roman"/>
        </w:rPr>
        <w:t xml:space="preserve">that </w:t>
      </w:r>
      <w:r w:rsidR="008C353A" w:rsidRPr="00AF7CA9">
        <w:rPr>
          <w:rFonts w:eastAsia="Times New Roman"/>
        </w:rPr>
        <w:t>“form</w:t>
      </w:r>
      <w:r w:rsidR="0066322C" w:rsidRPr="00AF7CA9">
        <w:rPr>
          <w:rFonts w:eastAsia="Times New Roman"/>
        </w:rPr>
        <w:t>[</w:t>
      </w:r>
      <w:r w:rsidR="00CB4BDD" w:rsidRPr="00AF7CA9">
        <w:rPr>
          <w:rFonts w:eastAsia="Times New Roman"/>
        </w:rPr>
        <w:t xml:space="preserve"> </w:t>
      </w:r>
      <w:r w:rsidR="0066322C" w:rsidRPr="00AF7CA9">
        <w:rPr>
          <w:rFonts w:eastAsia="Times New Roman"/>
        </w:rPr>
        <w:t>]</w:t>
      </w:r>
      <w:r w:rsidR="008C353A" w:rsidRPr="00AF7CA9">
        <w:rPr>
          <w:rFonts w:eastAsia="Times New Roman"/>
        </w:rPr>
        <w:t xml:space="preserve"> part of the transaction itself</w:t>
      </w:r>
      <w:r w:rsidR="00B377AB" w:rsidRPr="00AF7CA9">
        <w:rPr>
          <w:rFonts w:eastAsia="Times New Roman"/>
        </w:rPr>
        <w:t>”</w:t>
      </w:r>
      <w:r w:rsidR="003A796B" w:rsidRPr="00AF7CA9">
        <w:rPr>
          <w:rFonts w:eastAsia="Times New Roman"/>
          <w:i/>
          <w:iCs/>
          <w:color w:val="000000"/>
        </w:rPr>
        <w:t xml:space="preserve"> </w:t>
      </w:r>
      <w:r w:rsidR="0012219C" w:rsidRPr="00AF7CA9">
        <w:rPr>
          <w:rFonts w:eastAsia="Times New Roman"/>
          <w:color w:val="000000"/>
        </w:rPr>
        <w:t>(</w:t>
      </w:r>
      <w:r w:rsidR="003A796B" w:rsidRPr="00AF7CA9">
        <w:rPr>
          <w:rFonts w:eastAsia="Times New Roman"/>
          <w:i/>
          <w:iCs/>
          <w:color w:val="000000"/>
        </w:rPr>
        <w:t>People v Marks</w:t>
      </w:r>
      <w:r w:rsidR="003A796B" w:rsidRPr="00AF7CA9">
        <w:rPr>
          <w:rFonts w:eastAsia="Times New Roman"/>
          <w:color w:val="000000"/>
        </w:rPr>
        <w:t>, 6 NY2d 67, 71 [1959]</w:t>
      </w:r>
      <w:r w:rsidR="006817BE" w:rsidRPr="00AF7CA9">
        <w:rPr>
          <w:rFonts w:eastAsia="Times New Roman"/>
          <w:color w:val="000000"/>
        </w:rPr>
        <w:t xml:space="preserve">; </w:t>
      </w:r>
      <w:r w:rsidR="00471DB6" w:rsidRPr="00AF7CA9">
        <w:rPr>
          <w:rFonts w:eastAsia="Times New Roman"/>
          <w:i/>
          <w:iCs/>
          <w:color w:val="000000"/>
        </w:rPr>
        <w:t>People v Seymour</w:t>
      </w:r>
      <w:r w:rsidR="00471DB6" w:rsidRPr="00AF7CA9">
        <w:rPr>
          <w:rFonts w:eastAsia="Times New Roman"/>
          <w:color w:val="000000"/>
        </w:rPr>
        <w:t>, 183 AD2d 35, 38 [1st Dept 1992]</w:t>
      </w:r>
      <w:r w:rsidR="006817BE" w:rsidRPr="00AF7CA9">
        <w:rPr>
          <w:rFonts w:eastAsia="Times New Roman"/>
          <w:color w:val="000000"/>
        </w:rPr>
        <w:t xml:space="preserve"> [</w:t>
      </w:r>
      <w:r w:rsidR="00B2074C" w:rsidRPr="00AF7CA9">
        <w:rPr>
          <w:rFonts w:eastAsia="Times New Roman"/>
          <w:color w:val="000000"/>
        </w:rPr>
        <w:t>“</w:t>
      </w:r>
      <w:r w:rsidR="00CB4BDD" w:rsidRPr="00AF7CA9">
        <w:rPr>
          <w:rFonts w:eastAsia="Times New Roman"/>
          <w:color w:val="000000"/>
        </w:rPr>
        <w:t>r</w:t>
      </w:r>
      <w:r w:rsidR="00471DB6" w:rsidRPr="00AF7CA9">
        <w:rPr>
          <w:rFonts w:eastAsia="Times New Roman"/>
          <w:color w:val="000000"/>
        </w:rPr>
        <w:t xml:space="preserve">es gestae, i.e., </w:t>
      </w:r>
      <w:r w:rsidR="00471DB6" w:rsidRPr="00AF7CA9">
        <w:rPr>
          <w:rFonts w:eastAsia="Times New Roman"/>
          <w:color w:val="000000"/>
          <w:shd w:val="clear" w:color="auto" w:fill="FFFFFF"/>
        </w:rPr>
        <w:t>verbal acts</w:t>
      </w:r>
      <w:r w:rsidR="00471DB6" w:rsidRPr="00AF7CA9">
        <w:rPr>
          <w:rFonts w:eastAsia="Times New Roman"/>
          <w:color w:val="000000"/>
        </w:rPr>
        <w:t xml:space="preserve"> forming part of the transaction itself</w:t>
      </w:r>
      <w:r w:rsidR="00B2074C" w:rsidRPr="00AF7CA9">
        <w:rPr>
          <w:rFonts w:eastAsia="Times New Roman"/>
          <w:color w:val="000000"/>
        </w:rPr>
        <w:t xml:space="preserve">”]; </w:t>
      </w:r>
      <w:r w:rsidR="00471DB6" w:rsidRPr="00AF7CA9">
        <w:rPr>
          <w:rFonts w:eastAsia="Times New Roman"/>
          <w:i/>
          <w:iCs/>
          <w:color w:val="000000"/>
        </w:rPr>
        <w:t>Schner v Simpson</w:t>
      </w:r>
      <w:r w:rsidR="00471DB6" w:rsidRPr="00AF7CA9">
        <w:rPr>
          <w:rFonts w:eastAsia="Times New Roman"/>
          <w:color w:val="000000"/>
        </w:rPr>
        <w:t>, 286 A</w:t>
      </w:r>
      <w:r w:rsidR="009B122B" w:rsidRPr="00AF7CA9">
        <w:rPr>
          <w:rFonts w:eastAsia="Times New Roman"/>
          <w:color w:val="000000"/>
        </w:rPr>
        <w:t xml:space="preserve">pp </w:t>
      </w:r>
      <w:r w:rsidR="00471DB6" w:rsidRPr="00AF7CA9">
        <w:rPr>
          <w:rFonts w:eastAsia="Times New Roman"/>
          <w:color w:val="000000"/>
        </w:rPr>
        <w:t>D</w:t>
      </w:r>
      <w:r w:rsidR="009B122B" w:rsidRPr="00AF7CA9">
        <w:rPr>
          <w:rFonts w:eastAsia="Times New Roman"/>
          <w:color w:val="000000"/>
        </w:rPr>
        <w:t>iv</w:t>
      </w:r>
      <w:r w:rsidR="00471DB6" w:rsidRPr="00AF7CA9">
        <w:rPr>
          <w:rFonts w:eastAsia="Times New Roman"/>
          <w:color w:val="000000"/>
        </w:rPr>
        <w:t xml:space="preserve"> 716, 718 [1st Dept 1955]</w:t>
      </w:r>
      <w:r w:rsidR="000760C8" w:rsidRPr="00AF7CA9">
        <w:rPr>
          <w:rFonts w:eastAsia="Times New Roman"/>
          <w:color w:val="000000"/>
        </w:rPr>
        <w:t xml:space="preserve"> </w:t>
      </w:r>
      <w:r w:rsidR="00E85996" w:rsidRPr="00AF7CA9">
        <w:rPr>
          <w:rFonts w:eastAsia="Times New Roman"/>
          <w:color w:val="000000"/>
        </w:rPr>
        <w:t>[“</w:t>
      </w:r>
      <w:r w:rsidR="00CB4BDD" w:rsidRPr="00AF7CA9">
        <w:rPr>
          <w:rFonts w:eastAsia="Times New Roman"/>
          <w:color w:val="000000"/>
        </w:rPr>
        <w:t>t</w:t>
      </w:r>
      <w:r w:rsidR="00471DB6" w:rsidRPr="00AF7CA9">
        <w:rPr>
          <w:rFonts w:eastAsia="Times New Roman"/>
          <w:color w:val="000000"/>
        </w:rPr>
        <w:t>he ‘</w:t>
      </w:r>
      <w:r w:rsidR="00471DB6" w:rsidRPr="00AF7CA9">
        <w:rPr>
          <w:rFonts w:eastAsia="Times New Roman"/>
          <w:color w:val="000000"/>
          <w:shd w:val="clear" w:color="auto" w:fill="FFFFFF"/>
        </w:rPr>
        <w:t>verbal act</w:t>
      </w:r>
      <w:r w:rsidR="00471DB6" w:rsidRPr="00AF7CA9">
        <w:rPr>
          <w:rFonts w:eastAsia="Times New Roman"/>
          <w:color w:val="000000"/>
        </w:rPr>
        <w:t>’ doctrine where the utterance is</w:t>
      </w:r>
      <w:r w:rsidR="00CB4BDD" w:rsidRPr="00AF7CA9">
        <w:rPr>
          <w:rFonts w:eastAsia="Times New Roman"/>
          <w:color w:val="000000"/>
        </w:rPr>
        <w:t xml:space="preserve"> </w:t>
      </w:r>
      <w:r w:rsidR="00471DB6" w:rsidRPr="00AF7CA9">
        <w:rPr>
          <w:rFonts w:eastAsia="Times New Roman"/>
          <w:color w:val="000000"/>
        </w:rPr>
        <w:t xml:space="preserve">admitted as a verbal part of an act, that is, of the </w:t>
      </w:r>
      <w:r w:rsidR="00471DB6" w:rsidRPr="00AF7CA9">
        <w:rPr>
          <w:rFonts w:eastAsia="Times New Roman"/>
          <w:i/>
          <w:iCs/>
          <w:color w:val="000000"/>
        </w:rPr>
        <w:t>res gestae</w:t>
      </w:r>
      <w:r w:rsidR="00E85996" w:rsidRPr="00AF7CA9">
        <w:rPr>
          <w:rFonts w:eastAsia="Times New Roman"/>
          <w:color w:val="000000"/>
        </w:rPr>
        <w:t>”</w:t>
      </w:r>
      <w:r w:rsidR="00CB4BDD" w:rsidRPr="00AF7CA9">
        <w:rPr>
          <w:rFonts w:eastAsia="Times New Roman"/>
          <w:color w:val="000000"/>
        </w:rPr>
        <w:t>]</w:t>
      </w:r>
      <w:r w:rsidR="00337048" w:rsidRPr="00AF7CA9">
        <w:rPr>
          <w:rFonts w:eastAsia="Times New Roman"/>
          <w:color w:val="000000"/>
        </w:rPr>
        <w:t>)</w:t>
      </w:r>
      <w:r w:rsidR="00B511B3" w:rsidRPr="00AF7CA9">
        <w:rPr>
          <w:rFonts w:eastAsia="Times New Roman"/>
          <w:color w:val="000000"/>
        </w:rPr>
        <w:t>.</w:t>
      </w:r>
    </w:p>
    <w:p w14:paraId="0DC37C10" w14:textId="77777777" w:rsidR="009215D0" w:rsidRPr="00AF7CA9" w:rsidRDefault="009215D0" w:rsidP="00D50516">
      <w:pPr>
        <w:shd w:val="clear" w:color="auto" w:fill="FFFFFF"/>
        <w:spacing w:before="0"/>
        <w:jc w:val="both"/>
        <w:rPr>
          <w:rFonts w:eastAsia="Times New Roman"/>
          <w:color w:val="000000"/>
        </w:rPr>
      </w:pPr>
    </w:p>
    <w:p w14:paraId="15B8C92A" w14:textId="267BDE5E" w:rsidR="004A0B2B" w:rsidRPr="00AF7CA9" w:rsidRDefault="009215D0" w:rsidP="00F67964">
      <w:pPr>
        <w:shd w:val="clear" w:color="auto" w:fill="FFFFFF"/>
        <w:spacing w:before="0"/>
        <w:jc w:val="both"/>
        <w:rPr>
          <w:rFonts w:eastAsia="Times New Roman"/>
          <w:color w:val="000000"/>
        </w:rPr>
      </w:pPr>
      <w:r w:rsidRPr="00AF7CA9">
        <w:rPr>
          <w:rFonts w:eastAsia="Times New Roman"/>
          <w:color w:val="000000"/>
        </w:rPr>
        <w:tab/>
      </w:r>
      <w:r w:rsidR="00AC614D" w:rsidRPr="00AF7CA9">
        <w:rPr>
          <w:rFonts w:eastAsia="Times New Roman"/>
          <w:color w:val="000000"/>
        </w:rPr>
        <w:t>“</w:t>
      </w:r>
      <w:r w:rsidR="002D1E7F" w:rsidRPr="00AF7CA9">
        <w:rPr>
          <w:rFonts w:eastAsia="Times New Roman"/>
          <w:color w:val="000000"/>
        </w:rPr>
        <w:t xml:space="preserve">Verbal acts” are not hearsay because they are not offered </w:t>
      </w:r>
      <w:r w:rsidR="00A92A51" w:rsidRPr="00AF7CA9">
        <w:rPr>
          <w:rFonts w:eastAsia="Times New Roman"/>
          <w:color w:val="000000"/>
        </w:rPr>
        <w:t xml:space="preserve">“for the truth of their assertions, but, rather, to attach legal effect to the conduct which they accompany” </w:t>
      </w:r>
      <w:r w:rsidR="00D84BFF" w:rsidRPr="00AF7CA9">
        <w:rPr>
          <w:rFonts w:eastAsia="Times New Roman"/>
          <w:color w:val="000000"/>
        </w:rPr>
        <w:t>(</w:t>
      </w:r>
      <w:r w:rsidR="00C22E86" w:rsidRPr="00AF7CA9">
        <w:rPr>
          <w:rFonts w:eastAsia="Times New Roman"/>
          <w:i/>
          <w:iCs/>
          <w:color w:val="000000"/>
        </w:rPr>
        <w:t>People v Salko</w:t>
      </w:r>
      <w:r w:rsidR="00C22E86" w:rsidRPr="00AF7CA9">
        <w:rPr>
          <w:rFonts w:eastAsia="Times New Roman"/>
          <w:color w:val="000000"/>
        </w:rPr>
        <w:t>, 47 NY2d 230, 239 [1979</w:t>
      </w:r>
      <w:r w:rsidR="009A566B" w:rsidRPr="00AF7CA9">
        <w:rPr>
          <w:rFonts w:eastAsia="Times New Roman"/>
          <w:color w:val="000000"/>
        </w:rPr>
        <w:t>]</w:t>
      </w:r>
      <w:r w:rsidR="004F5D3C" w:rsidRPr="00AF7CA9">
        <w:rPr>
          <w:rFonts w:eastAsia="Times New Roman"/>
          <w:color w:val="000000"/>
        </w:rPr>
        <w:t xml:space="preserve">; </w:t>
      </w:r>
      <w:bookmarkStart w:id="1" w:name="_Hlk125040396"/>
      <w:r w:rsidR="0009674E" w:rsidRPr="00AF7CA9">
        <w:rPr>
          <w:rFonts w:eastAsia="Times New Roman"/>
          <w:i/>
          <w:iCs/>
          <w:color w:val="000000"/>
        </w:rPr>
        <w:t>People v Caban</w:t>
      </w:r>
      <w:r w:rsidR="0009674E" w:rsidRPr="00AF7CA9">
        <w:rPr>
          <w:rFonts w:eastAsia="Times New Roman"/>
          <w:color w:val="000000"/>
        </w:rPr>
        <w:t>, 5 NY3d 143, 149 [2005]</w:t>
      </w:r>
      <w:bookmarkEnd w:id="1"/>
      <w:r w:rsidR="00AC769D" w:rsidRPr="00AF7CA9">
        <w:rPr>
          <w:rFonts w:eastAsia="Times New Roman"/>
          <w:color w:val="000000"/>
        </w:rPr>
        <w:t>)</w:t>
      </w:r>
      <w:r w:rsidR="001C52FE" w:rsidRPr="00AF7CA9">
        <w:rPr>
          <w:rFonts w:eastAsia="Times New Roman"/>
          <w:color w:val="000000"/>
        </w:rPr>
        <w:t>;</w:t>
      </w:r>
      <w:r w:rsidR="00AC769D" w:rsidRPr="00AF7CA9">
        <w:rPr>
          <w:rFonts w:eastAsia="Times New Roman"/>
          <w:color w:val="000000"/>
        </w:rPr>
        <w:t xml:space="preserve"> </w:t>
      </w:r>
      <w:r w:rsidR="00862B4D" w:rsidRPr="00AF7CA9">
        <w:rPr>
          <w:rFonts w:eastAsia="Times New Roman"/>
          <w:color w:val="000000"/>
        </w:rPr>
        <w:t>“to assist in giving legal significance to some ‘otherwise ambiguous conduct</w:t>
      </w:r>
      <w:r w:rsidR="00DF2D54" w:rsidRPr="00AF7CA9">
        <w:rPr>
          <w:rFonts w:eastAsia="Times New Roman"/>
          <w:color w:val="000000"/>
        </w:rPr>
        <w:t>’</w:t>
      </w:r>
      <w:r w:rsidR="009B122B" w:rsidRPr="00AF7CA9">
        <w:rPr>
          <w:rFonts w:eastAsia="Times New Roman"/>
          <w:color w:val="000000"/>
        </w:rPr>
        <w:t xml:space="preserve"> </w:t>
      </w:r>
      <w:r w:rsidR="00DF2D54" w:rsidRPr="00AF7CA9">
        <w:rPr>
          <w:rFonts w:eastAsia="Times New Roman"/>
          <w:color w:val="000000"/>
        </w:rPr>
        <w:t>”</w:t>
      </w:r>
      <w:r w:rsidR="002212F9" w:rsidRPr="00AF7CA9">
        <w:rPr>
          <w:rFonts w:eastAsia="Times New Roman"/>
          <w:color w:val="000000"/>
        </w:rPr>
        <w:t xml:space="preserve"> (</w:t>
      </w:r>
      <w:r w:rsidR="002212F9" w:rsidRPr="00AF7CA9">
        <w:rPr>
          <w:rFonts w:eastAsia="Times New Roman"/>
          <w:i/>
          <w:iCs/>
          <w:color w:val="000000"/>
        </w:rPr>
        <w:t>People v Guy</w:t>
      </w:r>
      <w:r w:rsidR="002212F9" w:rsidRPr="00AF7CA9">
        <w:rPr>
          <w:rFonts w:eastAsia="Times New Roman"/>
          <w:color w:val="000000"/>
        </w:rPr>
        <w:t>, 93 AD3d 877, 880 [3d Dept 2012]); t</w:t>
      </w:r>
      <w:r w:rsidR="00DF2D54" w:rsidRPr="00AF7CA9">
        <w:rPr>
          <w:rFonts w:eastAsia="Times New Roman"/>
          <w:color w:val="000000"/>
        </w:rPr>
        <w:t xml:space="preserve">o </w:t>
      </w:r>
      <w:r w:rsidR="00193E19" w:rsidRPr="00AF7CA9">
        <w:rPr>
          <w:rFonts w:eastAsia="Times New Roman"/>
          <w:color w:val="000000"/>
        </w:rPr>
        <w:t>explain</w:t>
      </w:r>
      <w:r w:rsidR="00666D0B" w:rsidRPr="00AF7CA9">
        <w:rPr>
          <w:rFonts w:eastAsia="Times New Roman"/>
          <w:color w:val="000000"/>
        </w:rPr>
        <w:t xml:space="preserve"> “otherwise ambiguous conduct” that accompan</w:t>
      </w:r>
      <w:r w:rsidR="002212F9" w:rsidRPr="00AF7CA9">
        <w:rPr>
          <w:rFonts w:eastAsia="Times New Roman"/>
          <w:color w:val="000000"/>
        </w:rPr>
        <w:t>ies it and lend “significance to it”</w:t>
      </w:r>
      <w:r w:rsidR="00A80318" w:rsidRPr="00AF7CA9">
        <w:rPr>
          <w:rFonts w:eastAsia="Times New Roman"/>
          <w:color w:val="000000"/>
        </w:rPr>
        <w:t xml:space="preserve"> (</w:t>
      </w:r>
      <w:r w:rsidR="004A0B2B" w:rsidRPr="00AF7CA9">
        <w:rPr>
          <w:rFonts w:eastAsia="Times New Roman"/>
          <w:i/>
          <w:iCs/>
          <w:color w:val="000000"/>
        </w:rPr>
        <w:t>People v Acomb</w:t>
      </w:r>
      <w:r w:rsidR="004A0B2B" w:rsidRPr="00AF7CA9">
        <w:rPr>
          <w:rFonts w:eastAsia="Times New Roman"/>
          <w:color w:val="000000"/>
        </w:rPr>
        <w:t>, 87 AD2d 1, 6 [4th Dept 1982]</w:t>
      </w:r>
      <w:r w:rsidR="00A80318" w:rsidRPr="00AF7CA9">
        <w:rPr>
          <w:rFonts w:eastAsia="Times New Roman"/>
          <w:color w:val="000000"/>
        </w:rPr>
        <w:t>).</w:t>
      </w:r>
    </w:p>
    <w:p w14:paraId="282AD76D" w14:textId="77777777" w:rsidR="00E84FB9" w:rsidRPr="00AF7CA9" w:rsidRDefault="00E84FB9" w:rsidP="00E84FB9">
      <w:pPr>
        <w:shd w:val="clear" w:color="auto" w:fill="FFFFFF"/>
        <w:spacing w:before="0"/>
        <w:jc w:val="both"/>
        <w:rPr>
          <w:rFonts w:eastAsia="Times New Roman"/>
          <w:color w:val="000000"/>
        </w:rPr>
      </w:pPr>
    </w:p>
    <w:p w14:paraId="58B70E68" w14:textId="280FA882" w:rsidR="00E84FB9" w:rsidRPr="00AF7CA9" w:rsidRDefault="001420F8" w:rsidP="00E84FB9">
      <w:pPr>
        <w:shd w:val="clear" w:color="auto" w:fill="FFFFFF"/>
        <w:spacing w:before="0"/>
        <w:jc w:val="both"/>
        <w:rPr>
          <w:rFonts w:eastAsia="Times New Roman"/>
          <w:color w:val="000000"/>
        </w:rPr>
      </w:pPr>
      <w:r w:rsidRPr="00AF7CA9">
        <w:rPr>
          <w:rFonts w:eastAsia="Times New Roman"/>
          <w:color w:val="000000"/>
        </w:rPr>
        <w:tab/>
        <w:t>Examples of a “verbal act” include:</w:t>
      </w:r>
    </w:p>
    <w:p w14:paraId="70F15EEE" w14:textId="77777777" w:rsidR="00236203" w:rsidRPr="00AF7CA9" w:rsidRDefault="00236203" w:rsidP="00E84FB9">
      <w:pPr>
        <w:shd w:val="clear" w:color="auto" w:fill="FFFFFF"/>
        <w:spacing w:before="0"/>
        <w:jc w:val="both"/>
        <w:rPr>
          <w:rFonts w:eastAsia="Times New Roman"/>
          <w:color w:val="000000"/>
        </w:rPr>
      </w:pPr>
    </w:p>
    <w:p w14:paraId="4C5CFD6E" w14:textId="68D09B81" w:rsidR="009D2879" w:rsidRPr="00AF7CA9" w:rsidRDefault="00006EF0" w:rsidP="008C40F4">
      <w:pPr>
        <w:pStyle w:val="ListParagraph"/>
        <w:numPr>
          <w:ilvl w:val="0"/>
          <w:numId w:val="2"/>
        </w:numPr>
        <w:shd w:val="clear" w:color="auto" w:fill="FFFFFF"/>
        <w:spacing w:before="0"/>
        <w:jc w:val="both"/>
        <w:rPr>
          <w:rFonts w:eastAsia="Times New Roman"/>
          <w:color w:val="000000"/>
        </w:rPr>
      </w:pPr>
      <w:r w:rsidRPr="00AF7CA9">
        <w:rPr>
          <w:rFonts w:eastAsia="Times New Roman"/>
          <w:i/>
          <w:iCs/>
          <w:color w:val="000000"/>
        </w:rPr>
        <w:t>People v Caban</w:t>
      </w:r>
      <w:r w:rsidRPr="00AF7CA9">
        <w:rPr>
          <w:rFonts w:eastAsia="Times New Roman"/>
          <w:color w:val="000000"/>
        </w:rPr>
        <w:t xml:space="preserve"> </w:t>
      </w:r>
      <w:r w:rsidR="002D0CD0" w:rsidRPr="00AF7CA9">
        <w:rPr>
          <w:rFonts w:eastAsia="Times New Roman"/>
          <w:color w:val="000000"/>
        </w:rPr>
        <w:t>(</w:t>
      </w:r>
      <w:r w:rsidRPr="00AF7CA9">
        <w:rPr>
          <w:rFonts w:eastAsia="Times New Roman"/>
          <w:color w:val="000000"/>
        </w:rPr>
        <w:t>5 NY3d at 149 [</w:t>
      </w:r>
      <w:r w:rsidR="009C7A18" w:rsidRPr="00AF7CA9">
        <w:rPr>
          <w:rFonts w:eastAsia="Times New Roman"/>
        </w:rPr>
        <w:t xml:space="preserve">A statement accepting another’s solicitation to commit a crime is a verbal act, not hearsay, when offered to prove a conspiracy to commit the underlying crime and is thus admissible </w:t>
      </w:r>
      <w:r w:rsidR="009C7A18" w:rsidRPr="00AF7CA9">
        <w:rPr>
          <w:rFonts w:eastAsia="Times New Roman"/>
        </w:rPr>
        <w:lastRenderedPageBreak/>
        <w:t>without prima facie proof of the conspiracy</w:t>
      </w:r>
      <w:r w:rsidR="00227B5C" w:rsidRPr="00AF7CA9">
        <w:rPr>
          <w:rFonts w:eastAsia="Times New Roman"/>
        </w:rPr>
        <w:t>]</w:t>
      </w:r>
      <w:r w:rsidR="002D0CD0" w:rsidRPr="00AF7CA9">
        <w:rPr>
          <w:rFonts w:eastAsia="Times New Roman"/>
        </w:rPr>
        <w:t>;</w:t>
      </w:r>
      <w:r w:rsidR="00227B5C" w:rsidRPr="00AF7CA9">
        <w:rPr>
          <w:rFonts w:eastAsia="Times New Roman"/>
        </w:rPr>
        <w:t xml:space="preserve"> </w:t>
      </w:r>
      <w:r w:rsidR="002D0CD0" w:rsidRPr="00AF7CA9">
        <w:rPr>
          <w:rFonts w:eastAsia="Times New Roman"/>
          <w:i/>
          <w:iCs/>
        </w:rPr>
        <w:t>s</w:t>
      </w:r>
      <w:r w:rsidR="00227B5C" w:rsidRPr="00AF7CA9">
        <w:rPr>
          <w:rFonts w:eastAsia="Times New Roman"/>
          <w:i/>
          <w:iCs/>
        </w:rPr>
        <w:t>ee</w:t>
      </w:r>
      <w:r w:rsidR="009D2879" w:rsidRPr="00AF7CA9">
        <w:rPr>
          <w:rFonts w:eastAsia="Times New Roman"/>
          <w:color w:val="000000"/>
        </w:rPr>
        <w:t xml:space="preserve"> Guide to NY Evid rule 8.</w:t>
      </w:r>
      <w:r w:rsidR="0024349C" w:rsidRPr="00AF7CA9">
        <w:rPr>
          <w:rFonts w:eastAsia="Times New Roman"/>
          <w:color w:val="000000"/>
        </w:rPr>
        <w:t>09</w:t>
      </w:r>
      <w:r w:rsidR="00A73510" w:rsidRPr="00AF7CA9">
        <w:rPr>
          <w:rFonts w:eastAsia="Times New Roman"/>
          <w:color w:val="000000"/>
        </w:rPr>
        <w:t xml:space="preserve"> </w:t>
      </w:r>
      <w:r w:rsidR="00B511B3" w:rsidRPr="00AF7CA9">
        <w:rPr>
          <w:rFonts w:eastAsia="Times New Roman"/>
          <w:color w:val="000000"/>
        </w:rPr>
        <w:t>[</w:t>
      </w:r>
      <w:r w:rsidR="004A1A77" w:rsidRPr="00AF7CA9">
        <w:rPr>
          <w:rFonts w:eastAsia="Times New Roman"/>
          <w:color w:val="000000"/>
        </w:rPr>
        <w:t>2</w:t>
      </w:r>
      <w:r w:rsidR="00B511B3" w:rsidRPr="00AF7CA9">
        <w:rPr>
          <w:rFonts w:eastAsia="Times New Roman"/>
          <w:color w:val="000000"/>
        </w:rPr>
        <w:t>]</w:t>
      </w:r>
      <w:r w:rsidR="00A73510" w:rsidRPr="00AF7CA9">
        <w:rPr>
          <w:rFonts w:eastAsia="Times New Roman"/>
          <w:color w:val="000000"/>
        </w:rPr>
        <w:t xml:space="preserve">, </w:t>
      </w:r>
      <w:r w:rsidR="0024349C" w:rsidRPr="00AF7CA9">
        <w:rPr>
          <w:rFonts w:eastAsia="Times New Roman"/>
          <w:color w:val="000000"/>
        </w:rPr>
        <w:t xml:space="preserve">Coconspirator </w:t>
      </w:r>
      <w:r w:rsidR="00A73510" w:rsidRPr="00AF7CA9">
        <w:rPr>
          <w:rFonts w:eastAsia="Times New Roman"/>
          <w:color w:val="000000"/>
        </w:rPr>
        <w:t>S</w:t>
      </w:r>
      <w:r w:rsidR="0024349C" w:rsidRPr="00AF7CA9">
        <w:rPr>
          <w:rFonts w:eastAsia="Times New Roman"/>
          <w:color w:val="000000"/>
        </w:rPr>
        <w:t>tatement)</w:t>
      </w:r>
      <w:r w:rsidR="00B511B3" w:rsidRPr="00AF7CA9">
        <w:rPr>
          <w:rFonts w:eastAsia="Times New Roman"/>
          <w:color w:val="000000"/>
        </w:rPr>
        <w:t>.</w:t>
      </w:r>
    </w:p>
    <w:p w14:paraId="06BDD2CF" w14:textId="77777777" w:rsidR="000A6D22" w:rsidRPr="00AF7CA9" w:rsidRDefault="000A6D22" w:rsidP="00B511B3">
      <w:pPr>
        <w:shd w:val="clear" w:color="auto" w:fill="FFFFFF"/>
        <w:spacing w:before="0"/>
        <w:rPr>
          <w:rFonts w:eastAsia="Times New Roman"/>
          <w:color w:val="000000"/>
        </w:rPr>
      </w:pPr>
    </w:p>
    <w:p w14:paraId="6F3BF151" w14:textId="0A993224" w:rsidR="00E84FB9" w:rsidRPr="00AF7CA9" w:rsidRDefault="007C3479" w:rsidP="008C40F4">
      <w:pPr>
        <w:pStyle w:val="ListParagraph"/>
        <w:numPr>
          <w:ilvl w:val="0"/>
          <w:numId w:val="2"/>
        </w:numPr>
        <w:shd w:val="clear" w:color="auto" w:fill="FFFFFF"/>
        <w:spacing w:before="0"/>
        <w:jc w:val="both"/>
        <w:rPr>
          <w:rFonts w:eastAsia="Times New Roman"/>
          <w:color w:val="000000"/>
        </w:rPr>
      </w:pPr>
      <w:r w:rsidRPr="00AF7CA9">
        <w:rPr>
          <w:rFonts w:eastAsia="Times New Roman"/>
          <w:i/>
          <w:iCs/>
          <w:color w:val="000000"/>
        </w:rPr>
        <w:t>People v Merante</w:t>
      </w:r>
      <w:r w:rsidRPr="00AF7CA9">
        <w:rPr>
          <w:rFonts w:eastAsia="Times New Roman"/>
          <w:color w:val="000000"/>
        </w:rPr>
        <w:t xml:space="preserve"> </w:t>
      </w:r>
      <w:r w:rsidR="002D0CD0" w:rsidRPr="00AF7CA9">
        <w:rPr>
          <w:rFonts w:eastAsia="Times New Roman"/>
          <w:color w:val="000000"/>
        </w:rPr>
        <w:t>(</w:t>
      </w:r>
      <w:r w:rsidRPr="00AF7CA9">
        <w:rPr>
          <w:rFonts w:eastAsia="Times New Roman"/>
          <w:color w:val="000000"/>
        </w:rPr>
        <w:t>59 AD3d 207, 208 [1st Dept 2009]</w:t>
      </w:r>
      <w:r w:rsidR="00AE2984" w:rsidRPr="00AF7CA9">
        <w:rPr>
          <w:rFonts w:eastAsia="Times New Roman"/>
          <w:color w:val="000000"/>
        </w:rPr>
        <w:t xml:space="preserve"> [</w:t>
      </w:r>
      <w:r w:rsidR="0003194B" w:rsidRPr="00AF7CA9">
        <w:rPr>
          <w:rFonts w:eastAsia="Times New Roman"/>
          <w:color w:val="000000"/>
        </w:rPr>
        <w:t>In a larceny prosecution, the “</w:t>
      </w:r>
      <w:r w:rsidRPr="00AF7CA9">
        <w:rPr>
          <w:rFonts w:eastAsia="Times New Roman"/>
          <w:color w:val="000000"/>
        </w:rPr>
        <w:t>court properly admitted evidence that defendant</w:t>
      </w:r>
      <w:r w:rsidR="00A973EE" w:rsidRPr="00AF7CA9">
        <w:rPr>
          <w:rFonts w:eastAsia="Times New Roman"/>
          <w:color w:val="000000"/>
        </w:rPr>
        <w:t>’</w:t>
      </w:r>
      <w:r w:rsidRPr="00AF7CA9">
        <w:rPr>
          <w:rFonts w:eastAsia="Times New Roman"/>
          <w:color w:val="000000"/>
        </w:rPr>
        <w:t>s accomplice demanded that the owner</w:t>
      </w:r>
      <w:r w:rsidR="00A973EE" w:rsidRPr="00AF7CA9">
        <w:rPr>
          <w:rFonts w:eastAsia="Times New Roman"/>
          <w:color w:val="000000"/>
        </w:rPr>
        <w:t>’</w:t>
      </w:r>
      <w:r w:rsidRPr="00AF7CA9">
        <w:rPr>
          <w:rFonts w:eastAsia="Times New Roman"/>
          <w:color w:val="000000"/>
        </w:rPr>
        <w:t>s sister pay him money to obtain the return of the</w:t>
      </w:r>
      <w:r w:rsidR="00AE2984" w:rsidRPr="00AF7CA9">
        <w:rPr>
          <w:rFonts w:eastAsia="Times New Roman"/>
          <w:color w:val="000000"/>
        </w:rPr>
        <w:t xml:space="preserve"> (stolen)</w:t>
      </w:r>
      <w:r w:rsidRPr="00AF7CA9">
        <w:rPr>
          <w:rFonts w:eastAsia="Times New Roman"/>
          <w:color w:val="000000"/>
        </w:rPr>
        <w:t xml:space="preserve"> car. This was not offered for its truth, but as a </w:t>
      </w:r>
      <w:r w:rsidRPr="00AF7CA9">
        <w:rPr>
          <w:rFonts w:eastAsia="Times New Roman"/>
          <w:color w:val="000000"/>
          <w:shd w:val="clear" w:color="auto" w:fill="FFFFFF"/>
        </w:rPr>
        <w:t>verbal act</w:t>
      </w:r>
      <w:r w:rsidRPr="00AF7CA9">
        <w:rPr>
          <w:rFonts w:eastAsia="Times New Roman"/>
          <w:color w:val="000000"/>
        </w:rPr>
        <w:t xml:space="preserve"> that was part of the criminal transaction</w:t>
      </w:r>
      <w:r w:rsidR="00E9637B" w:rsidRPr="00AF7CA9">
        <w:rPr>
          <w:rFonts w:eastAsia="Times New Roman"/>
          <w:color w:val="000000"/>
        </w:rPr>
        <w:t>”]</w:t>
      </w:r>
      <w:r w:rsidR="002D0CD0" w:rsidRPr="00AF7CA9">
        <w:rPr>
          <w:rFonts w:eastAsia="Times New Roman"/>
          <w:color w:val="000000"/>
        </w:rPr>
        <w:t>)</w:t>
      </w:r>
      <w:r w:rsidR="00B511B3" w:rsidRPr="00AF7CA9">
        <w:rPr>
          <w:rFonts w:eastAsia="Times New Roman"/>
          <w:color w:val="000000"/>
        </w:rPr>
        <w:t>.</w:t>
      </w:r>
    </w:p>
    <w:p w14:paraId="0F87F1C9" w14:textId="77777777" w:rsidR="00BE38C2" w:rsidRPr="00AF7CA9" w:rsidRDefault="00BE38C2" w:rsidP="00B511B3">
      <w:pPr>
        <w:rPr>
          <w:rFonts w:eastAsia="Times New Roman"/>
          <w:color w:val="000000"/>
        </w:rPr>
      </w:pPr>
    </w:p>
    <w:p w14:paraId="41B73E3D" w14:textId="5913B72A" w:rsidR="00EF062A" w:rsidRPr="00AF7CA9" w:rsidRDefault="007C6BA9" w:rsidP="008C40F4">
      <w:pPr>
        <w:pStyle w:val="ListParagraph"/>
        <w:numPr>
          <w:ilvl w:val="0"/>
          <w:numId w:val="2"/>
        </w:numPr>
        <w:shd w:val="clear" w:color="auto" w:fill="FFFFFF"/>
        <w:spacing w:before="0"/>
        <w:jc w:val="both"/>
        <w:rPr>
          <w:rFonts w:eastAsia="Times New Roman"/>
          <w:color w:val="000000"/>
        </w:rPr>
      </w:pPr>
      <w:r w:rsidRPr="00AF7CA9">
        <w:rPr>
          <w:rFonts w:eastAsia="Times New Roman"/>
          <w:i/>
          <w:iCs/>
          <w:color w:val="000000"/>
        </w:rPr>
        <w:t>Matter of Corey v Corey</w:t>
      </w:r>
      <w:r w:rsidRPr="00AF7CA9">
        <w:rPr>
          <w:rFonts w:eastAsia="Times New Roman"/>
          <w:color w:val="000000"/>
        </w:rPr>
        <w:t xml:space="preserve"> </w:t>
      </w:r>
      <w:r w:rsidR="002D0CD0" w:rsidRPr="00AF7CA9">
        <w:rPr>
          <w:rFonts w:eastAsia="Times New Roman"/>
          <w:color w:val="000000"/>
        </w:rPr>
        <w:t>(</w:t>
      </w:r>
      <w:r w:rsidRPr="00AF7CA9">
        <w:rPr>
          <w:rFonts w:eastAsia="Times New Roman"/>
          <w:color w:val="000000"/>
        </w:rPr>
        <w:t>40 AD3d 1253, 1254</w:t>
      </w:r>
      <w:r w:rsidR="00F36FF1" w:rsidRPr="00AF7CA9">
        <w:rPr>
          <w:rFonts w:eastAsia="Times New Roman"/>
          <w:color w:val="000000"/>
        </w:rPr>
        <w:t>, 1255</w:t>
      </w:r>
      <w:r w:rsidRPr="00AF7CA9">
        <w:rPr>
          <w:rFonts w:eastAsia="Times New Roman"/>
          <w:color w:val="000000"/>
        </w:rPr>
        <w:t xml:space="preserve"> [3d Dept 2007]</w:t>
      </w:r>
      <w:r w:rsidR="00E9637B" w:rsidRPr="00AF7CA9">
        <w:rPr>
          <w:rFonts w:eastAsia="Times New Roman"/>
          <w:color w:val="000000"/>
        </w:rPr>
        <w:t xml:space="preserve"> </w:t>
      </w:r>
      <w:r w:rsidR="00AE04CD" w:rsidRPr="00AF7CA9">
        <w:rPr>
          <w:rFonts w:eastAsia="Times New Roman"/>
          <w:color w:val="000000"/>
        </w:rPr>
        <w:t>[“</w:t>
      </w:r>
      <w:r w:rsidRPr="00AF7CA9">
        <w:rPr>
          <w:rFonts w:eastAsia="Times New Roman"/>
          <w:color w:val="000000"/>
        </w:rPr>
        <w:t xml:space="preserve">The wife testified that the husband refused to leave her home </w:t>
      </w:r>
      <w:r w:rsidR="002E6E12" w:rsidRPr="00AF7CA9">
        <w:rPr>
          <w:rFonts w:eastAsia="Times New Roman"/>
          <w:color w:val="000000"/>
        </w:rPr>
        <w:t>. . .</w:t>
      </w:r>
      <w:r w:rsidR="00A1403F" w:rsidRPr="00AF7CA9">
        <w:rPr>
          <w:rFonts w:eastAsia="Times New Roman"/>
          <w:color w:val="000000"/>
        </w:rPr>
        <w:t>,</w:t>
      </w:r>
      <w:r w:rsidR="002E6E12" w:rsidRPr="00AF7CA9">
        <w:rPr>
          <w:rFonts w:eastAsia="Times New Roman"/>
          <w:color w:val="000000"/>
        </w:rPr>
        <w:t xml:space="preserve"> </w:t>
      </w:r>
      <w:r w:rsidRPr="00AF7CA9">
        <w:rPr>
          <w:rFonts w:eastAsia="Times New Roman"/>
          <w:color w:val="000000"/>
        </w:rPr>
        <w:t>threatened to break down the doors of her home if she attempted to bar his entry, and repeatedly became enraged and directed obscenities at her</w:t>
      </w:r>
      <w:r w:rsidR="004B462B" w:rsidRPr="00AF7CA9">
        <w:rPr>
          <w:rFonts w:eastAsia="Times New Roman"/>
          <w:color w:val="000000"/>
        </w:rPr>
        <w:t xml:space="preserve"> . . . </w:t>
      </w:r>
      <w:r w:rsidR="00A1403F" w:rsidRPr="00AF7CA9">
        <w:rPr>
          <w:rFonts w:eastAsia="Times New Roman"/>
          <w:color w:val="000000"/>
        </w:rPr>
        <w:t>(W)</w:t>
      </w:r>
      <w:r w:rsidR="00EF062A" w:rsidRPr="00AF7CA9">
        <w:rPr>
          <w:rFonts w:eastAsia="Times New Roman"/>
          <w:color w:val="000000"/>
        </w:rPr>
        <w:t xml:space="preserve">e find that the verbal acts </w:t>
      </w:r>
      <w:r w:rsidR="00727A17" w:rsidRPr="00AF7CA9">
        <w:rPr>
          <w:rFonts w:eastAsia="Times New Roman"/>
          <w:color w:val="000000"/>
        </w:rPr>
        <w:t>(i.e.</w:t>
      </w:r>
      <w:r w:rsidR="00A1403F" w:rsidRPr="00AF7CA9">
        <w:rPr>
          <w:rFonts w:eastAsia="Times New Roman"/>
          <w:color w:val="000000"/>
        </w:rPr>
        <w:t>,</w:t>
      </w:r>
      <w:r w:rsidR="00727A17" w:rsidRPr="00AF7CA9">
        <w:t xml:space="preserve"> spoken obscenities and threats</w:t>
      </w:r>
      <w:r w:rsidR="004B6A86" w:rsidRPr="00AF7CA9">
        <w:t>)</w:t>
      </w:r>
      <w:r w:rsidR="00727A17" w:rsidRPr="00AF7CA9">
        <w:rPr>
          <w:rFonts w:eastAsia="Times New Roman"/>
          <w:color w:val="000000"/>
        </w:rPr>
        <w:t xml:space="preserve"> </w:t>
      </w:r>
      <w:r w:rsidR="00EF062A" w:rsidRPr="00AF7CA9">
        <w:rPr>
          <w:rFonts w:eastAsia="Times New Roman"/>
          <w:color w:val="000000"/>
        </w:rPr>
        <w:t>made in the context described by the wife were not constitutionally protected</w:t>
      </w:r>
      <w:r w:rsidR="00AE04CD" w:rsidRPr="00AF7CA9">
        <w:rPr>
          <w:rFonts w:eastAsia="Times New Roman"/>
          <w:color w:val="000000"/>
        </w:rPr>
        <w:t>” by the First Amendment]</w:t>
      </w:r>
      <w:r w:rsidR="002D0CD0" w:rsidRPr="00AF7CA9">
        <w:rPr>
          <w:rFonts w:eastAsia="Times New Roman"/>
          <w:color w:val="000000"/>
        </w:rPr>
        <w:t>)</w:t>
      </w:r>
      <w:r w:rsidR="00B511B3" w:rsidRPr="00AF7CA9">
        <w:rPr>
          <w:rFonts w:eastAsia="Times New Roman"/>
          <w:color w:val="000000"/>
        </w:rPr>
        <w:t>.</w:t>
      </w:r>
    </w:p>
    <w:p w14:paraId="3ED79165" w14:textId="77777777" w:rsidR="00BE38C2" w:rsidRPr="00AF7CA9" w:rsidRDefault="00BE38C2" w:rsidP="00B511B3">
      <w:pPr>
        <w:rPr>
          <w:rFonts w:eastAsia="Times New Roman"/>
          <w:color w:val="000000"/>
        </w:rPr>
      </w:pPr>
    </w:p>
    <w:p w14:paraId="0CEF7806" w14:textId="7AFC3358" w:rsidR="005B783D" w:rsidRPr="00AF7CA9" w:rsidRDefault="005B783D" w:rsidP="008C40F4">
      <w:pPr>
        <w:pStyle w:val="ListParagraph"/>
        <w:numPr>
          <w:ilvl w:val="0"/>
          <w:numId w:val="2"/>
        </w:numPr>
        <w:shd w:val="clear" w:color="auto" w:fill="FFFFFF"/>
        <w:spacing w:before="0"/>
        <w:jc w:val="both"/>
        <w:rPr>
          <w:rFonts w:eastAsia="Times New Roman"/>
          <w:color w:val="000000"/>
        </w:rPr>
      </w:pPr>
      <w:r w:rsidRPr="00AF7CA9">
        <w:rPr>
          <w:rFonts w:eastAsia="Times New Roman"/>
          <w:i/>
          <w:iCs/>
          <w:color w:val="000000"/>
        </w:rPr>
        <w:t>People v DeJesus</w:t>
      </w:r>
      <w:r w:rsidRPr="00AF7CA9">
        <w:rPr>
          <w:rFonts w:eastAsia="Times New Roman"/>
          <w:color w:val="000000"/>
        </w:rPr>
        <w:t xml:space="preserve"> </w:t>
      </w:r>
      <w:r w:rsidR="002D0CD0" w:rsidRPr="00AF7CA9">
        <w:rPr>
          <w:rFonts w:eastAsia="Times New Roman"/>
          <w:color w:val="000000"/>
        </w:rPr>
        <w:t>(</w:t>
      </w:r>
      <w:r w:rsidRPr="00AF7CA9">
        <w:rPr>
          <w:rFonts w:eastAsia="Times New Roman"/>
          <w:color w:val="000000"/>
        </w:rPr>
        <w:t>272 AD2d 61, 61-62 [1st Dept 2000]</w:t>
      </w:r>
      <w:r w:rsidR="002B7F81" w:rsidRPr="00AF7CA9">
        <w:rPr>
          <w:rFonts w:eastAsia="Times New Roman"/>
          <w:color w:val="000000"/>
        </w:rPr>
        <w:t xml:space="preserve"> [</w:t>
      </w:r>
      <w:r w:rsidR="00C30BF1">
        <w:rPr>
          <w:rFonts w:eastAsia="Times New Roman"/>
          <w:color w:val="000000"/>
        </w:rPr>
        <w:t>T</w:t>
      </w:r>
      <w:r w:rsidRPr="00AF7CA9">
        <w:rPr>
          <w:rFonts w:eastAsia="Times New Roman"/>
          <w:color w:val="000000"/>
        </w:rPr>
        <w:t xml:space="preserve">he undercover detective </w:t>
      </w:r>
      <w:r w:rsidR="008832C5" w:rsidRPr="00AF7CA9">
        <w:rPr>
          <w:rFonts w:eastAsia="Times New Roman"/>
          <w:color w:val="000000"/>
        </w:rPr>
        <w:t>testified “</w:t>
      </w:r>
      <w:r w:rsidRPr="00AF7CA9">
        <w:rPr>
          <w:rFonts w:eastAsia="Times New Roman"/>
          <w:color w:val="000000"/>
        </w:rPr>
        <w:t>that, after defendant</w:t>
      </w:r>
      <w:r w:rsidR="00A973EE" w:rsidRPr="00AF7CA9">
        <w:rPr>
          <w:rFonts w:eastAsia="Times New Roman"/>
          <w:color w:val="000000"/>
        </w:rPr>
        <w:t>’</w:t>
      </w:r>
      <w:r w:rsidRPr="00AF7CA9">
        <w:rPr>
          <w:rFonts w:eastAsia="Times New Roman"/>
          <w:color w:val="000000"/>
        </w:rPr>
        <w:t xml:space="preserve">s co-defendant Felix Rivera determined how many glassines the </w:t>
      </w:r>
      <w:r w:rsidR="008832C5" w:rsidRPr="00AF7CA9">
        <w:rPr>
          <w:rFonts w:eastAsia="Times New Roman"/>
          <w:color w:val="000000"/>
        </w:rPr>
        <w:t xml:space="preserve">(undercover) </w:t>
      </w:r>
      <w:r w:rsidRPr="00AF7CA9">
        <w:rPr>
          <w:rFonts w:eastAsia="Times New Roman"/>
          <w:color w:val="000000"/>
        </w:rPr>
        <w:t xml:space="preserve">detective wanted, he told him to </w:t>
      </w:r>
      <w:r w:rsidR="00AE04CD" w:rsidRPr="00AF7CA9">
        <w:rPr>
          <w:rFonts w:eastAsia="Times New Roman"/>
          <w:color w:val="000000"/>
        </w:rPr>
        <w:t>‘</w:t>
      </w:r>
      <w:r w:rsidRPr="00AF7CA9">
        <w:rPr>
          <w:rFonts w:eastAsia="Times New Roman"/>
          <w:color w:val="000000"/>
        </w:rPr>
        <w:t>wait on the corner while he went to get it.</w:t>
      </w:r>
      <w:r w:rsidR="00AE04CD" w:rsidRPr="00AF7CA9">
        <w:rPr>
          <w:rFonts w:eastAsia="Times New Roman"/>
          <w:color w:val="000000"/>
        </w:rPr>
        <w:t>’</w:t>
      </w:r>
      <w:r w:rsidRPr="00AF7CA9">
        <w:rPr>
          <w:rFonts w:eastAsia="Times New Roman"/>
          <w:color w:val="000000"/>
        </w:rPr>
        <w:t xml:space="preserve"> </w:t>
      </w:r>
      <w:r w:rsidR="001E16C7" w:rsidRPr="00AF7CA9">
        <w:rPr>
          <w:rFonts w:eastAsia="Times New Roman"/>
          <w:color w:val="000000"/>
        </w:rPr>
        <w:t xml:space="preserve">. . . </w:t>
      </w:r>
      <w:r w:rsidRPr="00AF7CA9">
        <w:rPr>
          <w:rFonts w:eastAsia="Times New Roman"/>
          <w:color w:val="000000"/>
        </w:rPr>
        <w:t>Rivera</w:t>
      </w:r>
      <w:r w:rsidR="00A973EE" w:rsidRPr="00AF7CA9">
        <w:rPr>
          <w:rFonts w:eastAsia="Times New Roman"/>
          <w:color w:val="000000"/>
        </w:rPr>
        <w:t>’</w:t>
      </w:r>
      <w:r w:rsidRPr="00AF7CA9">
        <w:rPr>
          <w:rFonts w:eastAsia="Times New Roman"/>
          <w:color w:val="000000"/>
        </w:rPr>
        <w:t>s statement was a simple instruction given to the detective and was a necessary part of the detective</w:t>
      </w:r>
      <w:r w:rsidR="00A973EE" w:rsidRPr="00AF7CA9">
        <w:rPr>
          <w:rFonts w:eastAsia="Times New Roman"/>
          <w:color w:val="000000"/>
        </w:rPr>
        <w:t>’</w:t>
      </w:r>
      <w:r w:rsidRPr="00AF7CA9">
        <w:rPr>
          <w:rFonts w:eastAsia="Times New Roman"/>
          <w:color w:val="000000"/>
        </w:rPr>
        <w:t xml:space="preserve">s narrative to explain why he remained where he was while Rivera crossed the street to defendant. Thus, this remark was </w:t>
      </w:r>
      <w:r w:rsidR="00A1403F" w:rsidRPr="00AF7CA9">
        <w:rPr>
          <w:rFonts w:eastAsia="Times New Roman"/>
          <w:color w:val="000000"/>
        </w:rPr>
        <w:t>‘</w:t>
      </w:r>
      <w:r w:rsidRPr="00AF7CA9">
        <w:rPr>
          <w:rFonts w:eastAsia="Times New Roman"/>
          <w:color w:val="000000"/>
        </w:rPr>
        <w:t xml:space="preserve">a </w:t>
      </w:r>
      <w:r w:rsidRPr="00AF7CA9">
        <w:rPr>
          <w:rFonts w:eastAsia="Times New Roman"/>
          <w:color w:val="000000"/>
          <w:shd w:val="clear" w:color="auto" w:fill="FFFFFF"/>
        </w:rPr>
        <w:t>verbal act</w:t>
      </w:r>
      <w:r w:rsidRPr="00AF7CA9">
        <w:rPr>
          <w:rFonts w:eastAsia="Times New Roman"/>
          <w:color w:val="000000"/>
        </w:rPr>
        <w:t xml:space="preserve"> and part of the criminal res gestae establishing the theory of </w:t>
      </w:r>
      <w:r w:rsidR="00A1403F" w:rsidRPr="00AF7CA9">
        <w:rPr>
          <w:rFonts w:eastAsia="Times New Roman"/>
          <w:color w:val="000000"/>
        </w:rPr>
        <w:t>“</w:t>
      </w:r>
      <w:r w:rsidRPr="00AF7CA9">
        <w:rPr>
          <w:rFonts w:eastAsia="Times New Roman"/>
          <w:color w:val="000000"/>
        </w:rPr>
        <w:t>acting in concert</w:t>
      </w:r>
      <w:r w:rsidR="00A1403F" w:rsidRPr="00AF7CA9">
        <w:rPr>
          <w:rFonts w:eastAsia="Times New Roman"/>
          <w:color w:val="000000"/>
        </w:rPr>
        <w:t>” ’</w:t>
      </w:r>
      <w:r w:rsidRPr="00AF7CA9">
        <w:rPr>
          <w:rFonts w:eastAsia="Times New Roman"/>
          <w:color w:val="000000"/>
        </w:rPr>
        <w:t xml:space="preserve"> and did not constitute inadmissible hearsay</w:t>
      </w:r>
      <w:r w:rsidR="002B7F81" w:rsidRPr="00AF7CA9">
        <w:rPr>
          <w:rFonts w:eastAsia="Times New Roman"/>
          <w:color w:val="000000"/>
        </w:rPr>
        <w:t>”]</w:t>
      </w:r>
      <w:r w:rsidR="002D0CD0" w:rsidRPr="00AF7CA9">
        <w:rPr>
          <w:rFonts w:eastAsia="Times New Roman"/>
          <w:color w:val="000000"/>
        </w:rPr>
        <w:t>)</w:t>
      </w:r>
      <w:r w:rsidR="00B511B3" w:rsidRPr="00AF7CA9">
        <w:rPr>
          <w:rFonts w:eastAsia="Times New Roman"/>
          <w:color w:val="000000"/>
        </w:rPr>
        <w:t>.</w:t>
      </w:r>
    </w:p>
    <w:p w14:paraId="037852CC" w14:textId="77777777" w:rsidR="00BE38C2" w:rsidRPr="00AF7CA9" w:rsidRDefault="00BE38C2" w:rsidP="00B511B3">
      <w:pPr>
        <w:rPr>
          <w:rFonts w:eastAsia="Times New Roman"/>
          <w:color w:val="000000"/>
        </w:rPr>
      </w:pPr>
    </w:p>
    <w:p w14:paraId="2261581E" w14:textId="2A1D87DA" w:rsidR="000E4B36" w:rsidRPr="00AF7CA9" w:rsidRDefault="000E4B36" w:rsidP="008C40F4">
      <w:pPr>
        <w:pStyle w:val="ListParagraph"/>
        <w:numPr>
          <w:ilvl w:val="0"/>
          <w:numId w:val="2"/>
        </w:numPr>
        <w:shd w:val="clear" w:color="auto" w:fill="FFFFFF"/>
        <w:spacing w:before="0"/>
        <w:jc w:val="both"/>
        <w:rPr>
          <w:rFonts w:eastAsia="Times New Roman"/>
        </w:rPr>
      </w:pPr>
      <w:r w:rsidRPr="00AF7CA9">
        <w:rPr>
          <w:rFonts w:eastAsia="Times New Roman"/>
          <w:i/>
          <w:iCs/>
          <w:color w:val="000000"/>
        </w:rPr>
        <w:t>People v Thompson</w:t>
      </w:r>
      <w:r w:rsidRPr="00AF7CA9">
        <w:rPr>
          <w:rFonts w:eastAsia="Times New Roman"/>
          <w:color w:val="000000"/>
        </w:rPr>
        <w:t xml:space="preserve"> </w:t>
      </w:r>
      <w:r w:rsidR="002D0CD0" w:rsidRPr="00AF7CA9">
        <w:rPr>
          <w:rFonts w:eastAsia="Times New Roman"/>
          <w:color w:val="000000"/>
        </w:rPr>
        <w:t>(</w:t>
      </w:r>
      <w:r w:rsidRPr="00AF7CA9">
        <w:rPr>
          <w:rFonts w:eastAsia="Times New Roman"/>
          <w:color w:val="000000"/>
        </w:rPr>
        <w:t>186 AD2d 768, 768 [2d Dept 1992]</w:t>
      </w:r>
      <w:r w:rsidR="001E56A9" w:rsidRPr="00AF7CA9">
        <w:rPr>
          <w:rFonts w:eastAsia="Times New Roman"/>
          <w:color w:val="000000"/>
        </w:rPr>
        <w:t xml:space="preserve"> [“</w:t>
      </w:r>
      <w:r w:rsidRPr="00AF7CA9">
        <w:rPr>
          <w:rFonts w:eastAsia="Times New Roman"/>
          <w:color w:val="000000"/>
        </w:rPr>
        <w:t xml:space="preserve">The challenged testimony established that as the officer approached an abandoned building utilized as a </w:t>
      </w:r>
      <w:r w:rsidR="006C30C2" w:rsidRPr="00AF7CA9">
        <w:rPr>
          <w:rFonts w:eastAsia="Times New Roman"/>
          <w:color w:val="000000"/>
        </w:rPr>
        <w:t>‘</w:t>
      </w:r>
      <w:r w:rsidRPr="00AF7CA9">
        <w:rPr>
          <w:rFonts w:eastAsia="Times New Roman"/>
          <w:color w:val="000000"/>
        </w:rPr>
        <w:t>peephole location</w:t>
      </w:r>
      <w:r w:rsidR="006C30C2" w:rsidRPr="00AF7CA9">
        <w:rPr>
          <w:rFonts w:eastAsia="Times New Roman"/>
          <w:color w:val="000000"/>
        </w:rPr>
        <w:t>’</w:t>
      </w:r>
      <w:r w:rsidRPr="00AF7CA9">
        <w:rPr>
          <w:rFonts w:eastAsia="Times New Roman"/>
          <w:color w:val="000000"/>
        </w:rPr>
        <w:t xml:space="preserve"> from which drug transactions were effected, he observed the codefendant motioning with his hands and directing prospective purchasers to the peephole by stating </w:t>
      </w:r>
      <w:r w:rsidR="006C30C2" w:rsidRPr="00AF7CA9">
        <w:rPr>
          <w:rFonts w:eastAsia="Times New Roman"/>
          <w:color w:val="000000"/>
        </w:rPr>
        <w:t>‘</w:t>
      </w:r>
      <w:r w:rsidRPr="00AF7CA9">
        <w:rPr>
          <w:rFonts w:eastAsia="Times New Roman"/>
          <w:color w:val="000000"/>
        </w:rPr>
        <w:t>the hole is working</w:t>
      </w:r>
      <w:r w:rsidR="006C30C2" w:rsidRPr="00AF7CA9">
        <w:rPr>
          <w:rFonts w:eastAsia="Times New Roman"/>
          <w:color w:val="000000"/>
        </w:rPr>
        <w:t>’</w:t>
      </w:r>
      <w:r w:rsidRPr="00AF7CA9">
        <w:rPr>
          <w:rFonts w:eastAsia="Times New Roman"/>
          <w:color w:val="000000"/>
        </w:rPr>
        <w:t>. We find that the codefendant</w:t>
      </w:r>
      <w:r w:rsidR="00A973EE" w:rsidRPr="00AF7CA9">
        <w:rPr>
          <w:rFonts w:eastAsia="Times New Roman"/>
          <w:color w:val="000000"/>
        </w:rPr>
        <w:t>’</w:t>
      </w:r>
      <w:r w:rsidRPr="00AF7CA9">
        <w:rPr>
          <w:rFonts w:eastAsia="Times New Roman"/>
          <w:color w:val="000000"/>
        </w:rPr>
        <w:t xml:space="preserve">s statements accompanied equivocal conduct which could be interpreted by reference to the content of the statements </w:t>
      </w:r>
      <w:r w:rsidR="001E56A9" w:rsidRPr="00AF7CA9">
        <w:rPr>
          <w:rFonts w:eastAsia="Times New Roman"/>
          <w:color w:val="000000"/>
        </w:rPr>
        <w:t>. . . .</w:t>
      </w:r>
      <w:r w:rsidRPr="00AF7CA9">
        <w:rPr>
          <w:rFonts w:eastAsia="Times New Roman"/>
          <w:color w:val="000000"/>
        </w:rPr>
        <w:t xml:space="preserve"> Therefore, the statements constituted a </w:t>
      </w:r>
      <w:r w:rsidRPr="00AF7CA9">
        <w:rPr>
          <w:rFonts w:eastAsia="Times New Roman"/>
          <w:color w:val="000000"/>
          <w:shd w:val="clear" w:color="auto" w:fill="FFFFFF"/>
        </w:rPr>
        <w:t>verbal act</w:t>
      </w:r>
      <w:r w:rsidRPr="00AF7CA9">
        <w:rPr>
          <w:rFonts w:eastAsia="Times New Roman"/>
          <w:color w:val="000000"/>
        </w:rPr>
        <w:t xml:space="preserve"> and part of the criminal res gestae establishing the theory of </w:t>
      </w:r>
      <w:r w:rsidR="001E56A9" w:rsidRPr="00AF7CA9">
        <w:rPr>
          <w:rFonts w:eastAsia="Times New Roman"/>
          <w:color w:val="000000"/>
        </w:rPr>
        <w:t>‘</w:t>
      </w:r>
      <w:r w:rsidRPr="00AF7CA9">
        <w:rPr>
          <w:rFonts w:eastAsia="Times New Roman"/>
          <w:color w:val="000000"/>
        </w:rPr>
        <w:t>acting in concert</w:t>
      </w:r>
      <w:r w:rsidR="001E56A9" w:rsidRPr="00AF7CA9">
        <w:rPr>
          <w:rFonts w:eastAsia="Times New Roman"/>
          <w:color w:val="000000"/>
        </w:rPr>
        <w:t>’</w:t>
      </w:r>
      <w:r w:rsidRPr="00AF7CA9">
        <w:rPr>
          <w:rFonts w:eastAsia="Times New Roman"/>
          <w:color w:val="000000"/>
        </w:rPr>
        <w:t xml:space="preserve"> as charged in the indictment</w:t>
      </w:r>
      <w:r w:rsidR="002A4012" w:rsidRPr="00AF7CA9">
        <w:rPr>
          <w:rFonts w:eastAsia="Times New Roman"/>
          <w:color w:val="000000"/>
        </w:rPr>
        <w:t xml:space="preserve"> </w:t>
      </w:r>
      <w:r w:rsidR="002D0CD0" w:rsidRPr="00AF7CA9">
        <w:rPr>
          <w:rFonts w:eastAsia="Times New Roman"/>
        </w:rPr>
        <w:t>(</w:t>
      </w:r>
      <w:r w:rsidR="0096149A" w:rsidRPr="00AF7CA9">
        <w:rPr>
          <w:rFonts w:eastAsia="Times New Roman"/>
        </w:rPr>
        <w:t>and accordingly did</w:t>
      </w:r>
      <w:r w:rsidR="002D0CD0" w:rsidRPr="00AF7CA9">
        <w:rPr>
          <w:rFonts w:eastAsia="Times New Roman"/>
        </w:rPr>
        <w:t>)</w:t>
      </w:r>
      <w:r w:rsidR="0096149A" w:rsidRPr="00AF7CA9">
        <w:rPr>
          <w:rFonts w:eastAsia="Times New Roman"/>
        </w:rPr>
        <w:t xml:space="preserve"> not constitute he</w:t>
      </w:r>
      <w:r w:rsidR="0046143F" w:rsidRPr="00AF7CA9">
        <w:rPr>
          <w:rFonts w:eastAsia="Times New Roman"/>
        </w:rPr>
        <w:t>a</w:t>
      </w:r>
      <w:r w:rsidR="0096149A" w:rsidRPr="00AF7CA9">
        <w:rPr>
          <w:rFonts w:eastAsia="Times New Roman"/>
        </w:rPr>
        <w:t>rsay”</w:t>
      </w:r>
      <w:r w:rsidR="002D0CD0" w:rsidRPr="00AF7CA9">
        <w:rPr>
          <w:rFonts w:eastAsia="Times New Roman"/>
        </w:rPr>
        <w:t>])</w:t>
      </w:r>
      <w:r w:rsidR="00B511B3" w:rsidRPr="00AF7CA9">
        <w:rPr>
          <w:rFonts w:eastAsia="Times New Roman"/>
        </w:rPr>
        <w:t>.</w:t>
      </w:r>
    </w:p>
    <w:p w14:paraId="6E35F4EA" w14:textId="77777777" w:rsidR="008315B2" w:rsidRPr="00AF7CA9" w:rsidRDefault="008315B2" w:rsidP="006B76F2">
      <w:pPr>
        <w:autoSpaceDE w:val="0"/>
        <w:autoSpaceDN w:val="0"/>
        <w:adjustRightInd w:val="0"/>
        <w:snapToGrid w:val="0"/>
        <w:spacing w:before="0"/>
        <w:rPr>
          <w:rFonts w:ascii="TimesNewRoman" w:eastAsia="Times New Roman" w:hAnsi="TimesNewRoman" w:cs="TimesNewRoman"/>
          <w:color w:val="000000"/>
          <w:lang w:val="x-none"/>
        </w:rPr>
      </w:pPr>
    </w:p>
    <w:sectPr w:rsidR="008315B2" w:rsidRPr="00AF7CA9" w:rsidSect="00DF0140">
      <w:footerReference w:type="default" r:id="rId8"/>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7F02" w14:textId="77777777" w:rsidR="00567110" w:rsidRDefault="00567110" w:rsidP="000A6D22">
      <w:pPr>
        <w:spacing w:before="0"/>
      </w:pPr>
      <w:r>
        <w:separator/>
      </w:r>
    </w:p>
  </w:endnote>
  <w:endnote w:type="continuationSeparator" w:id="0">
    <w:p w14:paraId="3FBD461D" w14:textId="77777777" w:rsidR="00567110" w:rsidRDefault="00567110" w:rsidP="000A6D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362822"/>
      <w:docPartObj>
        <w:docPartGallery w:val="Page Numbers (Bottom of Page)"/>
        <w:docPartUnique/>
      </w:docPartObj>
    </w:sdtPr>
    <w:sdtEndPr>
      <w:rPr>
        <w:noProof/>
      </w:rPr>
    </w:sdtEndPr>
    <w:sdtContent>
      <w:p w14:paraId="537B4BD0" w14:textId="23124F4C" w:rsidR="00DF0140" w:rsidRDefault="00DF0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4C42" w14:textId="77777777" w:rsidR="00567110" w:rsidRDefault="00567110" w:rsidP="000A6D22">
      <w:pPr>
        <w:spacing w:before="0"/>
      </w:pPr>
      <w:r>
        <w:separator/>
      </w:r>
    </w:p>
  </w:footnote>
  <w:footnote w:type="continuationSeparator" w:id="0">
    <w:p w14:paraId="1B4BFC39" w14:textId="77777777" w:rsidR="00567110" w:rsidRDefault="00567110" w:rsidP="000A6D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D77"/>
    <w:multiLevelType w:val="multilevel"/>
    <w:tmpl w:val="A27C21F6"/>
    <w:lvl w:ilvl="0">
      <w:start w:val="2"/>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ACB22D3"/>
    <w:multiLevelType w:val="hybridMultilevel"/>
    <w:tmpl w:val="4B9C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476941">
    <w:abstractNumId w:val="0"/>
  </w:num>
  <w:num w:numId="2" w16cid:durableId="88016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48E"/>
    <w:rsid w:val="00006EF0"/>
    <w:rsid w:val="0000720A"/>
    <w:rsid w:val="0001618A"/>
    <w:rsid w:val="0003194B"/>
    <w:rsid w:val="00051186"/>
    <w:rsid w:val="00061008"/>
    <w:rsid w:val="000760C8"/>
    <w:rsid w:val="000804DA"/>
    <w:rsid w:val="00082543"/>
    <w:rsid w:val="00087EB9"/>
    <w:rsid w:val="0009674E"/>
    <w:rsid w:val="000A6D22"/>
    <w:rsid w:val="000D6D21"/>
    <w:rsid w:val="000E4B36"/>
    <w:rsid w:val="00107997"/>
    <w:rsid w:val="0012219C"/>
    <w:rsid w:val="001420F8"/>
    <w:rsid w:val="001637B0"/>
    <w:rsid w:val="00177360"/>
    <w:rsid w:val="00193E19"/>
    <w:rsid w:val="001B5CF8"/>
    <w:rsid w:val="001C52FE"/>
    <w:rsid w:val="001E16C7"/>
    <w:rsid w:val="001E56A9"/>
    <w:rsid w:val="001F0A78"/>
    <w:rsid w:val="002029F6"/>
    <w:rsid w:val="002114F3"/>
    <w:rsid w:val="002212F9"/>
    <w:rsid w:val="00222704"/>
    <w:rsid w:val="0022525A"/>
    <w:rsid w:val="00226E8A"/>
    <w:rsid w:val="00227B5C"/>
    <w:rsid w:val="0023520D"/>
    <w:rsid w:val="00236203"/>
    <w:rsid w:val="0024349C"/>
    <w:rsid w:val="00254815"/>
    <w:rsid w:val="00271926"/>
    <w:rsid w:val="002A308A"/>
    <w:rsid w:val="002A4012"/>
    <w:rsid w:val="002B7F81"/>
    <w:rsid w:val="002D0CD0"/>
    <w:rsid w:val="002D1E7F"/>
    <w:rsid w:val="002E6E12"/>
    <w:rsid w:val="002F4FA7"/>
    <w:rsid w:val="003035A9"/>
    <w:rsid w:val="0033547A"/>
    <w:rsid w:val="00337048"/>
    <w:rsid w:val="00383016"/>
    <w:rsid w:val="00393CC8"/>
    <w:rsid w:val="003A796B"/>
    <w:rsid w:val="003C217F"/>
    <w:rsid w:val="003C4363"/>
    <w:rsid w:val="003F3825"/>
    <w:rsid w:val="00402BF0"/>
    <w:rsid w:val="00413C7D"/>
    <w:rsid w:val="004172D8"/>
    <w:rsid w:val="0044675E"/>
    <w:rsid w:val="0046143F"/>
    <w:rsid w:val="00471DB6"/>
    <w:rsid w:val="00485121"/>
    <w:rsid w:val="004A0B2B"/>
    <w:rsid w:val="004A1A77"/>
    <w:rsid w:val="004B462B"/>
    <w:rsid w:val="004B6A86"/>
    <w:rsid w:val="004D0EB4"/>
    <w:rsid w:val="004F5D3C"/>
    <w:rsid w:val="005213FB"/>
    <w:rsid w:val="005242B5"/>
    <w:rsid w:val="0052702F"/>
    <w:rsid w:val="00545982"/>
    <w:rsid w:val="00567110"/>
    <w:rsid w:val="00577582"/>
    <w:rsid w:val="0058690E"/>
    <w:rsid w:val="005934E3"/>
    <w:rsid w:val="005B783D"/>
    <w:rsid w:val="005D1EBB"/>
    <w:rsid w:val="00617EB0"/>
    <w:rsid w:val="00634AF6"/>
    <w:rsid w:val="00635554"/>
    <w:rsid w:val="0064449E"/>
    <w:rsid w:val="0066322C"/>
    <w:rsid w:val="00666D0B"/>
    <w:rsid w:val="006817BE"/>
    <w:rsid w:val="00684163"/>
    <w:rsid w:val="006B76F2"/>
    <w:rsid w:val="006B7884"/>
    <w:rsid w:val="006C30C2"/>
    <w:rsid w:val="006C54AB"/>
    <w:rsid w:val="006D1ABC"/>
    <w:rsid w:val="006D22CA"/>
    <w:rsid w:val="006D3D1C"/>
    <w:rsid w:val="006F4EA8"/>
    <w:rsid w:val="006F6B73"/>
    <w:rsid w:val="00701FB7"/>
    <w:rsid w:val="00727A17"/>
    <w:rsid w:val="0076360A"/>
    <w:rsid w:val="00773267"/>
    <w:rsid w:val="00777D0E"/>
    <w:rsid w:val="007C2432"/>
    <w:rsid w:val="007C3479"/>
    <w:rsid w:val="007C6BA9"/>
    <w:rsid w:val="008315B2"/>
    <w:rsid w:val="00862B4D"/>
    <w:rsid w:val="00864D99"/>
    <w:rsid w:val="008832C5"/>
    <w:rsid w:val="008C353A"/>
    <w:rsid w:val="008C40F4"/>
    <w:rsid w:val="008C4AFD"/>
    <w:rsid w:val="008D186A"/>
    <w:rsid w:val="008F4156"/>
    <w:rsid w:val="009117E4"/>
    <w:rsid w:val="009215D0"/>
    <w:rsid w:val="0096149A"/>
    <w:rsid w:val="009636FE"/>
    <w:rsid w:val="009A566B"/>
    <w:rsid w:val="009B122B"/>
    <w:rsid w:val="009C7A18"/>
    <w:rsid w:val="009D2879"/>
    <w:rsid w:val="009E6219"/>
    <w:rsid w:val="00A12E89"/>
    <w:rsid w:val="00A1403F"/>
    <w:rsid w:val="00A42497"/>
    <w:rsid w:val="00A45E7F"/>
    <w:rsid w:val="00A649A0"/>
    <w:rsid w:val="00A6589E"/>
    <w:rsid w:val="00A73510"/>
    <w:rsid w:val="00A80318"/>
    <w:rsid w:val="00A92A51"/>
    <w:rsid w:val="00A973EE"/>
    <w:rsid w:val="00AC614D"/>
    <w:rsid w:val="00AC769D"/>
    <w:rsid w:val="00AD48FC"/>
    <w:rsid w:val="00AE04CD"/>
    <w:rsid w:val="00AE2984"/>
    <w:rsid w:val="00AF7CA9"/>
    <w:rsid w:val="00B2074C"/>
    <w:rsid w:val="00B377AB"/>
    <w:rsid w:val="00B511B3"/>
    <w:rsid w:val="00B53724"/>
    <w:rsid w:val="00B8625D"/>
    <w:rsid w:val="00B95DC3"/>
    <w:rsid w:val="00BA19D2"/>
    <w:rsid w:val="00BA3729"/>
    <w:rsid w:val="00BD6773"/>
    <w:rsid w:val="00BE367C"/>
    <w:rsid w:val="00BE38C2"/>
    <w:rsid w:val="00BE7D36"/>
    <w:rsid w:val="00C0780A"/>
    <w:rsid w:val="00C22E86"/>
    <w:rsid w:val="00C30BF1"/>
    <w:rsid w:val="00C32546"/>
    <w:rsid w:val="00C83D4C"/>
    <w:rsid w:val="00CA7752"/>
    <w:rsid w:val="00CB4BDD"/>
    <w:rsid w:val="00CB5C15"/>
    <w:rsid w:val="00CD72A1"/>
    <w:rsid w:val="00D06187"/>
    <w:rsid w:val="00D07ACB"/>
    <w:rsid w:val="00D17D62"/>
    <w:rsid w:val="00D50516"/>
    <w:rsid w:val="00D61C8F"/>
    <w:rsid w:val="00D7522A"/>
    <w:rsid w:val="00D84BFF"/>
    <w:rsid w:val="00D87419"/>
    <w:rsid w:val="00DC4F51"/>
    <w:rsid w:val="00DF0140"/>
    <w:rsid w:val="00DF2D54"/>
    <w:rsid w:val="00E10694"/>
    <w:rsid w:val="00E14619"/>
    <w:rsid w:val="00E31DAF"/>
    <w:rsid w:val="00E52BF3"/>
    <w:rsid w:val="00E84FB9"/>
    <w:rsid w:val="00E85996"/>
    <w:rsid w:val="00E9637B"/>
    <w:rsid w:val="00EC29E9"/>
    <w:rsid w:val="00ED1BDF"/>
    <w:rsid w:val="00ED56CD"/>
    <w:rsid w:val="00EE348E"/>
    <w:rsid w:val="00EF043A"/>
    <w:rsid w:val="00EF062A"/>
    <w:rsid w:val="00F2425F"/>
    <w:rsid w:val="00F24DCA"/>
    <w:rsid w:val="00F36FF1"/>
    <w:rsid w:val="00F67964"/>
    <w:rsid w:val="00F83A04"/>
    <w:rsid w:val="00F92DC7"/>
    <w:rsid w:val="00F963F6"/>
    <w:rsid w:val="00FA5F1A"/>
    <w:rsid w:val="00FE35B8"/>
    <w:rsid w:val="00FF23CE"/>
    <w:rsid w:val="00FF2BFB"/>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79B"/>
  <w15:chartTrackingRefBased/>
  <w15:docId w15:val="{7DCF6BB8-A41B-47E7-8D17-26EBE393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0A6D22"/>
    <w:pPr>
      <w:ind w:left="720"/>
      <w:contextualSpacing/>
    </w:pPr>
  </w:style>
  <w:style w:type="character" w:styleId="CommentReference">
    <w:name w:val="annotation reference"/>
    <w:basedOn w:val="DefaultParagraphFont"/>
    <w:uiPriority w:val="99"/>
    <w:semiHidden/>
    <w:unhideWhenUsed/>
    <w:rsid w:val="002D0CD0"/>
    <w:rPr>
      <w:sz w:val="16"/>
      <w:szCs w:val="16"/>
    </w:rPr>
  </w:style>
  <w:style w:type="paragraph" w:styleId="CommentText">
    <w:name w:val="annotation text"/>
    <w:basedOn w:val="Normal"/>
    <w:link w:val="CommentTextChar"/>
    <w:uiPriority w:val="99"/>
    <w:semiHidden/>
    <w:unhideWhenUsed/>
    <w:rsid w:val="002D0CD0"/>
    <w:rPr>
      <w:sz w:val="20"/>
      <w:szCs w:val="20"/>
    </w:rPr>
  </w:style>
  <w:style w:type="character" w:customStyle="1" w:styleId="CommentTextChar">
    <w:name w:val="Comment Text Char"/>
    <w:basedOn w:val="DefaultParagraphFont"/>
    <w:link w:val="CommentText"/>
    <w:uiPriority w:val="99"/>
    <w:semiHidden/>
    <w:rsid w:val="002D0CD0"/>
    <w:rPr>
      <w:sz w:val="20"/>
      <w:szCs w:val="20"/>
    </w:rPr>
  </w:style>
  <w:style w:type="paragraph" w:styleId="CommentSubject">
    <w:name w:val="annotation subject"/>
    <w:basedOn w:val="CommentText"/>
    <w:next w:val="CommentText"/>
    <w:link w:val="CommentSubjectChar"/>
    <w:uiPriority w:val="99"/>
    <w:semiHidden/>
    <w:unhideWhenUsed/>
    <w:rsid w:val="002D0CD0"/>
    <w:rPr>
      <w:b/>
      <w:bCs/>
    </w:rPr>
  </w:style>
  <w:style w:type="character" w:customStyle="1" w:styleId="CommentSubjectChar">
    <w:name w:val="Comment Subject Char"/>
    <w:basedOn w:val="CommentTextChar"/>
    <w:link w:val="CommentSubject"/>
    <w:uiPriority w:val="99"/>
    <w:semiHidden/>
    <w:rsid w:val="002D0CD0"/>
    <w:rPr>
      <w:b/>
      <w:bCs/>
      <w:sz w:val="20"/>
      <w:szCs w:val="20"/>
    </w:rPr>
  </w:style>
  <w:style w:type="character" w:styleId="Hyperlink">
    <w:name w:val="Hyperlink"/>
    <w:basedOn w:val="DefaultParagraphFont"/>
    <w:uiPriority w:val="99"/>
    <w:semiHidden/>
    <w:unhideWhenUsed/>
    <w:rsid w:val="00A73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243">
      <w:bodyDiv w:val="1"/>
      <w:marLeft w:val="0"/>
      <w:marRight w:val="0"/>
      <w:marTop w:val="0"/>
      <w:marBottom w:val="0"/>
      <w:divBdr>
        <w:top w:val="none" w:sz="0" w:space="0" w:color="auto"/>
        <w:left w:val="none" w:sz="0" w:space="0" w:color="auto"/>
        <w:bottom w:val="none" w:sz="0" w:space="0" w:color="auto"/>
        <w:right w:val="none" w:sz="0" w:space="0" w:color="auto"/>
      </w:divBdr>
      <w:divsChild>
        <w:div w:id="1920018221">
          <w:marLeft w:val="0"/>
          <w:marRight w:val="0"/>
          <w:marTop w:val="0"/>
          <w:marBottom w:val="0"/>
          <w:divBdr>
            <w:top w:val="none" w:sz="0" w:space="0" w:color="auto"/>
            <w:left w:val="none" w:sz="0" w:space="0" w:color="auto"/>
            <w:bottom w:val="none" w:sz="0" w:space="0" w:color="auto"/>
            <w:right w:val="none" w:sz="0" w:space="0" w:color="auto"/>
          </w:divBdr>
          <w:divsChild>
            <w:div w:id="2130203647">
              <w:marLeft w:val="0"/>
              <w:marRight w:val="0"/>
              <w:marTop w:val="0"/>
              <w:marBottom w:val="0"/>
              <w:divBdr>
                <w:top w:val="none" w:sz="0" w:space="0" w:color="auto"/>
                <w:left w:val="none" w:sz="0" w:space="0" w:color="auto"/>
                <w:bottom w:val="none" w:sz="0" w:space="0" w:color="auto"/>
                <w:right w:val="none" w:sz="0" w:space="0" w:color="auto"/>
              </w:divBdr>
              <w:divsChild>
                <w:div w:id="578633393">
                  <w:marLeft w:val="0"/>
                  <w:marRight w:val="0"/>
                  <w:marTop w:val="0"/>
                  <w:marBottom w:val="0"/>
                  <w:divBdr>
                    <w:top w:val="none" w:sz="0" w:space="0" w:color="auto"/>
                    <w:left w:val="none" w:sz="0" w:space="0" w:color="auto"/>
                    <w:bottom w:val="none" w:sz="0" w:space="0" w:color="auto"/>
                    <w:right w:val="none" w:sz="0" w:space="0" w:color="auto"/>
                  </w:divBdr>
                </w:div>
                <w:div w:id="320885672">
                  <w:marLeft w:val="0"/>
                  <w:marRight w:val="0"/>
                  <w:marTop w:val="0"/>
                  <w:marBottom w:val="0"/>
                  <w:divBdr>
                    <w:top w:val="none" w:sz="0" w:space="0" w:color="auto"/>
                    <w:left w:val="none" w:sz="0" w:space="0" w:color="auto"/>
                    <w:bottom w:val="none" w:sz="0" w:space="0" w:color="auto"/>
                    <w:right w:val="none" w:sz="0" w:space="0" w:color="auto"/>
                  </w:divBdr>
                  <w:divsChild>
                    <w:div w:id="1497723712">
                      <w:marLeft w:val="0"/>
                      <w:marRight w:val="0"/>
                      <w:marTop w:val="0"/>
                      <w:marBottom w:val="0"/>
                      <w:divBdr>
                        <w:top w:val="none" w:sz="0" w:space="0" w:color="auto"/>
                        <w:left w:val="none" w:sz="0" w:space="0" w:color="auto"/>
                        <w:bottom w:val="none" w:sz="0" w:space="0" w:color="auto"/>
                        <w:right w:val="none" w:sz="0" w:space="0" w:color="auto"/>
                      </w:divBdr>
                      <w:divsChild>
                        <w:div w:id="796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666">
      <w:bodyDiv w:val="1"/>
      <w:marLeft w:val="0"/>
      <w:marRight w:val="0"/>
      <w:marTop w:val="0"/>
      <w:marBottom w:val="0"/>
      <w:divBdr>
        <w:top w:val="none" w:sz="0" w:space="0" w:color="auto"/>
        <w:left w:val="none" w:sz="0" w:space="0" w:color="auto"/>
        <w:bottom w:val="none" w:sz="0" w:space="0" w:color="auto"/>
        <w:right w:val="none" w:sz="0" w:space="0" w:color="auto"/>
      </w:divBdr>
      <w:divsChild>
        <w:div w:id="440686568">
          <w:marLeft w:val="0"/>
          <w:marRight w:val="0"/>
          <w:marTop w:val="0"/>
          <w:marBottom w:val="0"/>
          <w:divBdr>
            <w:top w:val="none" w:sz="0" w:space="0" w:color="auto"/>
            <w:left w:val="none" w:sz="0" w:space="0" w:color="auto"/>
            <w:bottom w:val="none" w:sz="0" w:space="0" w:color="auto"/>
            <w:right w:val="none" w:sz="0" w:space="0" w:color="auto"/>
          </w:divBdr>
          <w:divsChild>
            <w:div w:id="505706161">
              <w:marLeft w:val="0"/>
              <w:marRight w:val="0"/>
              <w:marTop w:val="0"/>
              <w:marBottom w:val="0"/>
              <w:divBdr>
                <w:top w:val="none" w:sz="0" w:space="0" w:color="auto"/>
                <w:left w:val="none" w:sz="0" w:space="0" w:color="auto"/>
                <w:bottom w:val="none" w:sz="0" w:space="0" w:color="auto"/>
                <w:right w:val="none" w:sz="0" w:space="0" w:color="auto"/>
              </w:divBdr>
              <w:divsChild>
                <w:div w:id="15730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1691">
      <w:bodyDiv w:val="1"/>
      <w:marLeft w:val="0"/>
      <w:marRight w:val="0"/>
      <w:marTop w:val="0"/>
      <w:marBottom w:val="0"/>
      <w:divBdr>
        <w:top w:val="none" w:sz="0" w:space="0" w:color="auto"/>
        <w:left w:val="none" w:sz="0" w:space="0" w:color="auto"/>
        <w:bottom w:val="none" w:sz="0" w:space="0" w:color="auto"/>
        <w:right w:val="none" w:sz="0" w:space="0" w:color="auto"/>
      </w:divBdr>
      <w:divsChild>
        <w:div w:id="823931498">
          <w:marLeft w:val="0"/>
          <w:marRight w:val="0"/>
          <w:marTop w:val="0"/>
          <w:marBottom w:val="0"/>
          <w:divBdr>
            <w:top w:val="none" w:sz="0" w:space="0" w:color="auto"/>
            <w:left w:val="none" w:sz="0" w:space="0" w:color="auto"/>
            <w:bottom w:val="none" w:sz="0" w:space="0" w:color="auto"/>
            <w:right w:val="none" w:sz="0" w:space="0" w:color="auto"/>
          </w:divBdr>
          <w:divsChild>
            <w:div w:id="717822525">
              <w:marLeft w:val="0"/>
              <w:marRight w:val="0"/>
              <w:marTop w:val="0"/>
              <w:marBottom w:val="0"/>
              <w:divBdr>
                <w:top w:val="none" w:sz="0" w:space="0" w:color="auto"/>
                <w:left w:val="none" w:sz="0" w:space="0" w:color="auto"/>
                <w:bottom w:val="none" w:sz="0" w:space="0" w:color="auto"/>
                <w:right w:val="none" w:sz="0" w:space="0" w:color="auto"/>
              </w:divBdr>
              <w:divsChild>
                <w:div w:id="1127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4428">
      <w:bodyDiv w:val="1"/>
      <w:marLeft w:val="0"/>
      <w:marRight w:val="0"/>
      <w:marTop w:val="0"/>
      <w:marBottom w:val="0"/>
      <w:divBdr>
        <w:top w:val="none" w:sz="0" w:space="0" w:color="auto"/>
        <w:left w:val="none" w:sz="0" w:space="0" w:color="auto"/>
        <w:bottom w:val="none" w:sz="0" w:space="0" w:color="auto"/>
        <w:right w:val="none" w:sz="0" w:space="0" w:color="auto"/>
      </w:divBdr>
      <w:divsChild>
        <w:div w:id="2090299981">
          <w:marLeft w:val="0"/>
          <w:marRight w:val="0"/>
          <w:marTop w:val="0"/>
          <w:marBottom w:val="0"/>
          <w:divBdr>
            <w:top w:val="none" w:sz="0" w:space="0" w:color="auto"/>
            <w:left w:val="none" w:sz="0" w:space="0" w:color="auto"/>
            <w:bottom w:val="none" w:sz="0" w:space="0" w:color="auto"/>
            <w:right w:val="none" w:sz="0" w:space="0" w:color="auto"/>
          </w:divBdr>
          <w:divsChild>
            <w:div w:id="1672902351">
              <w:marLeft w:val="0"/>
              <w:marRight w:val="0"/>
              <w:marTop w:val="0"/>
              <w:marBottom w:val="0"/>
              <w:divBdr>
                <w:top w:val="none" w:sz="0" w:space="0" w:color="auto"/>
                <w:left w:val="none" w:sz="0" w:space="0" w:color="auto"/>
                <w:bottom w:val="none" w:sz="0" w:space="0" w:color="auto"/>
                <w:right w:val="none" w:sz="0" w:space="0" w:color="auto"/>
              </w:divBdr>
              <w:divsChild>
                <w:div w:id="21231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083">
      <w:bodyDiv w:val="1"/>
      <w:marLeft w:val="0"/>
      <w:marRight w:val="0"/>
      <w:marTop w:val="0"/>
      <w:marBottom w:val="0"/>
      <w:divBdr>
        <w:top w:val="none" w:sz="0" w:space="0" w:color="auto"/>
        <w:left w:val="none" w:sz="0" w:space="0" w:color="auto"/>
        <w:bottom w:val="none" w:sz="0" w:space="0" w:color="auto"/>
        <w:right w:val="none" w:sz="0" w:space="0" w:color="auto"/>
      </w:divBdr>
      <w:divsChild>
        <w:div w:id="368072525">
          <w:marLeft w:val="0"/>
          <w:marRight w:val="0"/>
          <w:marTop w:val="0"/>
          <w:marBottom w:val="0"/>
          <w:divBdr>
            <w:top w:val="none" w:sz="0" w:space="0" w:color="auto"/>
            <w:left w:val="none" w:sz="0" w:space="0" w:color="auto"/>
            <w:bottom w:val="none" w:sz="0" w:space="0" w:color="auto"/>
            <w:right w:val="none" w:sz="0" w:space="0" w:color="auto"/>
          </w:divBdr>
          <w:divsChild>
            <w:div w:id="114716390">
              <w:marLeft w:val="0"/>
              <w:marRight w:val="0"/>
              <w:marTop w:val="0"/>
              <w:marBottom w:val="0"/>
              <w:divBdr>
                <w:top w:val="none" w:sz="0" w:space="0" w:color="auto"/>
                <w:left w:val="none" w:sz="0" w:space="0" w:color="auto"/>
                <w:bottom w:val="none" w:sz="0" w:space="0" w:color="auto"/>
                <w:right w:val="none" w:sz="0" w:space="0" w:color="auto"/>
              </w:divBdr>
              <w:divsChild>
                <w:div w:id="1450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992">
      <w:bodyDiv w:val="1"/>
      <w:marLeft w:val="0"/>
      <w:marRight w:val="0"/>
      <w:marTop w:val="0"/>
      <w:marBottom w:val="0"/>
      <w:divBdr>
        <w:top w:val="none" w:sz="0" w:space="0" w:color="auto"/>
        <w:left w:val="none" w:sz="0" w:space="0" w:color="auto"/>
        <w:bottom w:val="none" w:sz="0" w:space="0" w:color="auto"/>
        <w:right w:val="none" w:sz="0" w:space="0" w:color="auto"/>
      </w:divBdr>
      <w:divsChild>
        <w:div w:id="820124348">
          <w:marLeft w:val="0"/>
          <w:marRight w:val="0"/>
          <w:marTop w:val="0"/>
          <w:marBottom w:val="0"/>
          <w:divBdr>
            <w:top w:val="none" w:sz="0" w:space="0" w:color="auto"/>
            <w:left w:val="none" w:sz="0" w:space="0" w:color="auto"/>
            <w:bottom w:val="none" w:sz="0" w:space="0" w:color="auto"/>
            <w:right w:val="none" w:sz="0" w:space="0" w:color="auto"/>
          </w:divBdr>
          <w:divsChild>
            <w:div w:id="1690060246">
              <w:marLeft w:val="0"/>
              <w:marRight w:val="0"/>
              <w:marTop w:val="0"/>
              <w:marBottom w:val="0"/>
              <w:divBdr>
                <w:top w:val="none" w:sz="0" w:space="0" w:color="auto"/>
                <w:left w:val="none" w:sz="0" w:space="0" w:color="auto"/>
                <w:bottom w:val="none" w:sz="0" w:space="0" w:color="auto"/>
                <w:right w:val="none" w:sz="0" w:space="0" w:color="auto"/>
              </w:divBdr>
              <w:divsChild>
                <w:div w:id="10838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5078">
      <w:bodyDiv w:val="1"/>
      <w:marLeft w:val="0"/>
      <w:marRight w:val="0"/>
      <w:marTop w:val="0"/>
      <w:marBottom w:val="0"/>
      <w:divBdr>
        <w:top w:val="none" w:sz="0" w:space="0" w:color="auto"/>
        <w:left w:val="none" w:sz="0" w:space="0" w:color="auto"/>
        <w:bottom w:val="none" w:sz="0" w:space="0" w:color="auto"/>
        <w:right w:val="none" w:sz="0" w:space="0" w:color="auto"/>
      </w:divBdr>
      <w:divsChild>
        <w:div w:id="1138957195">
          <w:marLeft w:val="0"/>
          <w:marRight w:val="0"/>
          <w:marTop w:val="0"/>
          <w:marBottom w:val="0"/>
          <w:divBdr>
            <w:top w:val="none" w:sz="0" w:space="0" w:color="auto"/>
            <w:left w:val="none" w:sz="0" w:space="0" w:color="auto"/>
            <w:bottom w:val="none" w:sz="0" w:space="0" w:color="auto"/>
            <w:right w:val="none" w:sz="0" w:space="0" w:color="auto"/>
          </w:divBdr>
          <w:divsChild>
            <w:div w:id="856579494">
              <w:marLeft w:val="0"/>
              <w:marRight w:val="0"/>
              <w:marTop w:val="0"/>
              <w:marBottom w:val="0"/>
              <w:divBdr>
                <w:top w:val="none" w:sz="0" w:space="0" w:color="auto"/>
                <w:left w:val="none" w:sz="0" w:space="0" w:color="auto"/>
                <w:bottom w:val="none" w:sz="0" w:space="0" w:color="auto"/>
                <w:right w:val="none" w:sz="0" w:space="0" w:color="auto"/>
              </w:divBdr>
              <w:divsChild>
                <w:div w:id="1496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7905">
      <w:bodyDiv w:val="1"/>
      <w:marLeft w:val="0"/>
      <w:marRight w:val="0"/>
      <w:marTop w:val="0"/>
      <w:marBottom w:val="0"/>
      <w:divBdr>
        <w:top w:val="none" w:sz="0" w:space="0" w:color="auto"/>
        <w:left w:val="none" w:sz="0" w:space="0" w:color="auto"/>
        <w:bottom w:val="none" w:sz="0" w:space="0" w:color="auto"/>
        <w:right w:val="none" w:sz="0" w:space="0" w:color="auto"/>
      </w:divBdr>
      <w:divsChild>
        <w:div w:id="911232061">
          <w:marLeft w:val="0"/>
          <w:marRight w:val="0"/>
          <w:marTop w:val="0"/>
          <w:marBottom w:val="0"/>
          <w:divBdr>
            <w:top w:val="none" w:sz="0" w:space="0" w:color="auto"/>
            <w:left w:val="none" w:sz="0" w:space="0" w:color="auto"/>
            <w:bottom w:val="none" w:sz="0" w:space="0" w:color="auto"/>
            <w:right w:val="none" w:sz="0" w:space="0" w:color="auto"/>
          </w:divBdr>
          <w:divsChild>
            <w:div w:id="680279799">
              <w:marLeft w:val="0"/>
              <w:marRight w:val="0"/>
              <w:marTop w:val="0"/>
              <w:marBottom w:val="0"/>
              <w:divBdr>
                <w:top w:val="none" w:sz="0" w:space="0" w:color="auto"/>
                <w:left w:val="none" w:sz="0" w:space="0" w:color="auto"/>
                <w:bottom w:val="none" w:sz="0" w:space="0" w:color="auto"/>
                <w:right w:val="none" w:sz="0" w:space="0" w:color="auto"/>
              </w:divBdr>
              <w:divsChild>
                <w:div w:id="1388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0314">
      <w:bodyDiv w:val="1"/>
      <w:marLeft w:val="0"/>
      <w:marRight w:val="0"/>
      <w:marTop w:val="0"/>
      <w:marBottom w:val="0"/>
      <w:divBdr>
        <w:top w:val="none" w:sz="0" w:space="0" w:color="auto"/>
        <w:left w:val="none" w:sz="0" w:space="0" w:color="auto"/>
        <w:bottom w:val="none" w:sz="0" w:space="0" w:color="auto"/>
        <w:right w:val="none" w:sz="0" w:space="0" w:color="auto"/>
      </w:divBdr>
      <w:divsChild>
        <w:div w:id="1330063551">
          <w:marLeft w:val="0"/>
          <w:marRight w:val="0"/>
          <w:marTop w:val="0"/>
          <w:marBottom w:val="0"/>
          <w:divBdr>
            <w:top w:val="none" w:sz="0" w:space="0" w:color="auto"/>
            <w:left w:val="none" w:sz="0" w:space="0" w:color="auto"/>
            <w:bottom w:val="none" w:sz="0" w:space="0" w:color="auto"/>
            <w:right w:val="none" w:sz="0" w:space="0" w:color="auto"/>
          </w:divBdr>
          <w:divsChild>
            <w:div w:id="1751929467">
              <w:marLeft w:val="0"/>
              <w:marRight w:val="0"/>
              <w:marTop w:val="0"/>
              <w:marBottom w:val="0"/>
              <w:divBdr>
                <w:top w:val="none" w:sz="0" w:space="0" w:color="auto"/>
                <w:left w:val="none" w:sz="0" w:space="0" w:color="auto"/>
                <w:bottom w:val="none" w:sz="0" w:space="0" w:color="auto"/>
                <w:right w:val="none" w:sz="0" w:space="0" w:color="auto"/>
              </w:divBdr>
              <w:divsChild>
                <w:div w:id="1250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9270">
      <w:bodyDiv w:val="1"/>
      <w:marLeft w:val="0"/>
      <w:marRight w:val="0"/>
      <w:marTop w:val="0"/>
      <w:marBottom w:val="0"/>
      <w:divBdr>
        <w:top w:val="none" w:sz="0" w:space="0" w:color="auto"/>
        <w:left w:val="none" w:sz="0" w:space="0" w:color="auto"/>
        <w:bottom w:val="none" w:sz="0" w:space="0" w:color="auto"/>
        <w:right w:val="none" w:sz="0" w:space="0" w:color="auto"/>
      </w:divBdr>
      <w:divsChild>
        <w:div w:id="1721712463">
          <w:marLeft w:val="0"/>
          <w:marRight w:val="0"/>
          <w:marTop w:val="0"/>
          <w:marBottom w:val="0"/>
          <w:divBdr>
            <w:top w:val="none" w:sz="0" w:space="0" w:color="auto"/>
            <w:left w:val="none" w:sz="0" w:space="0" w:color="auto"/>
            <w:bottom w:val="none" w:sz="0" w:space="0" w:color="auto"/>
            <w:right w:val="none" w:sz="0" w:space="0" w:color="auto"/>
          </w:divBdr>
          <w:divsChild>
            <w:div w:id="735051875">
              <w:marLeft w:val="0"/>
              <w:marRight w:val="0"/>
              <w:marTop w:val="0"/>
              <w:marBottom w:val="0"/>
              <w:divBdr>
                <w:top w:val="none" w:sz="0" w:space="0" w:color="auto"/>
                <w:left w:val="none" w:sz="0" w:space="0" w:color="auto"/>
                <w:bottom w:val="none" w:sz="0" w:space="0" w:color="auto"/>
                <w:right w:val="none" w:sz="0" w:space="0" w:color="auto"/>
              </w:divBdr>
              <w:divsChild>
                <w:div w:id="612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8184">
      <w:bodyDiv w:val="1"/>
      <w:marLeft w:val="0"/>
      <w:marRight w:val="0"/>
      <w:marTop w:val="0"/>
      <w:marBottom w:val="0"/>
      <w:divBdr>
        <w:top w:val="none" w:sz="0" w:space="0" w:color="auto"/>
        <w:left w:val="none" w:sz="0" w:space="0" w:color="auto"/>
        <w:bottom w:val="none" w:sz="0" w:space="0" w:color="auto"/>
        <w:right w:val="none" w:sz="0" w:space="0" w:color="auto"/>
      </w:divBdr>
      <w:divsChild>
        <w:div w:id="262568674">
          <w:marLeft w:val="0"/>
          <w:marRight w:val="0"/>
          <w:marTop w:val="0"/>
          <w:marBottom w:val="0"/>
          <w:divBdr>
            <w:top w:val="none" w:sz="0" w:space="0" w:color="auto"/>
            <w:left w:val="none" w:sz="0" w:space="0" w:color="auto"/>
            <w:bottom w:val="none" w:sz="0" w:space="0" w:color="auto"/>
            <w:right w:val="none" w:sz="0" w:space="0" w:color="auto"/>
          </w:divBdr>
          <w:divsChild>
            <w:div w:id="708837923">
              <w:marLeft w:val="0"/>
              <w:marRight w:val="0"/>
              <w:marTop w:val="0"/>
              <w:marBottom w:val="0"/>
              <w:divBdr>
                <w:top w:val="none" w:sz="0" w:space="0" w:color="auto"/>
                <w:left w:val="none" w:sz="0" w:space="0" w:color="auto"/>
                <w:bottom w:val="none" w:sz="0" w:space="0" w:color="auto"/>
                <w:right w:val="none" w:sz="0" w:space="0" w:color="auto"/>
              </w:divBdr>
              <w:divsChild>
                <w:div w:id="355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7134">
      <w:bodyDiv w:val="1"/>
      <w:marLeft w:val="0"/>
      <w:marRight w:val="0"/>
      <w:marTop w:val="0"/>
      <w:marBottom w:val="0"/>
      <w:divBdr>
        <w:top w:val="none" w:sz="0" w:space="0" w:color="auto"/>
        <w:left w:val="none" w:sz="0" w:space="0" w:color="auto"/>
        <w:bottom w:val="none" w:sz="0" w:space="0" w:color="auto"/>
        <w:right w:val="none" w:sz="0" w:space="0" w:color="auto"/>
      </w:divBdr>
      <w:divsChild>
        <w:div w:id="1192958243">
          <w:marLeft w:val="0"/>
          <w:marRight w:val="0"/>
          <w:marTop w:val="0"/>
          <w:marBottom w:val="0"/>
          <w:divBdr>
            <w:top w:val="none" w:sz="0" w:space="0" w:color="auto"/>
            <w:left w:val="none" w:sz="0" w:space="0" w:color="auto"/>
            <w:bottom w:val="none" w:sz="0" w:space="0" w:color="auto"/>
            <w:right w:val="none" w:sz="0" w:space="0" w:color="auto"/>
          </w:divBdr>
          <w:divsChild>
            <w:div w:id="1888101187">
              <w:marLeft w:val="0"/>
              <w:marRight w:val="0"/>
              <w:marTop w:val="0"/>
              <w:marBottom w:val="0"/>
              <w:divBdr>
                <w:top w:val="none" w:sz="0" w:space="0" w:color="auto"/>
                <w:left w:val="none" w:sz="0" w:space="0" w:color="auto"/>
                <w:bottom w:val="none" w:sz="0" w:space="0" w:color="auto"/>
                <w:right w:val="none" w:sz="0" w:space="0" w:color="auto"/>
              </w:divBdr>
              <w:divsChild>
                <w:div w:id="72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2741">
      <w:bodyDiv w:val="1"/>
      <w:marLeft w:val="0"/>
      <w:marRight w:val="0"/>
      <w:marTop w:val="0"/>
      <w:marBottom w:val="0"/>
      <w:divBdr>
        <w:top w:val="none" w:sz="0" w:space="0" w:color="auto"/>
        <w:left w:val="none" w:sz="0" w:space="0" w:color="auto"/>
        <w:bottom w:val="none" w:sz="0" w:space="0" w:color="auto"/>
        <w:right w:val="none" w:sz="0" w:space="0" w:color="auto"/>
      </w:divBdr>
      <w:divsChild>
        <w:div w:id="2146654814">
          <w:marLeft w:val="0"/>
          <w:marRight w:val="0"/>
          <w:marTop w:val="0"/>
          <w:marBottom w:val="0"/>
          <w:divBdr>
            <w:top w:val="none" w:sz="0" w:space="0" w:color="auto"/>
            <w:left w:val="none" w:sz="0" w:space="0" w:color="auto"/>
            <w:bottom w:val="none" w:sz="0" w:space="0" w:color="auto"/>
            <w:right w:val="none" w:sz="0" w:space="0" w:color="auto"/>
          </w:divBdr>
          <w:divsChild>
            <w:div w:id="1522402931">
              <w:marLeft w:val="0"/>
              <w:marRight w:val="0"/>
              <w:marTop w:val="0"/>
              <w:marBottom w:val="0"/>
              <w:divBdr>
                <w:top w:val="none" w:sz="0" w:space="0" w:color="auto"/>
                <w:left w:val="none" w:sz="0" w:space="0" w:color="auto"/>
                <w:bottom w:val="none" w:sz="0" w:space="0" w:color="auto"/>
                <w:right w:val="none" w:sz="0" w:space="0" w:color="auto"/>
              </w:divBdr>
              <w:divsChild>
                <w:div w:id="704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0818">
      <w:bodyDiv w:val="1"/>
      <w:marLeft w:val="0"/>
      <w:marRight w:val="0"/>
      <w:marTop w:val="0"/>
      <w:marBottom w:val="0"/>
      <w:divBdr>
        <w:top w:val="none" w:sz="0" w:space="0" w:color="auto"/>
        <w:left w:val="none" w:sz="0" w:space="0" w:color="auto"/>
        <w:bottom w:val="none" w:sz="0" w:space="0" w:color="auto"/>
        <w:right w:val="none" w:sz="0" w:space="0" w:color="auto"/>
      </w:divBdr>
      <w:divsChild>
        <w:div w:id="846947238">
          <w:marLeft w:val="0"/>
          <w:marRight w:val="0"/>
          <w:marTop w:val="0"/>
          <w:marBottom w:val="0"/>
          <w:divBdr>
            <w:top w:val="none" w:sz="0" w:space="0" w:color="auto"/>
            <w:left w:val="none" w:sz="0" w:space="0" w:color="auto"/>
            <w:bottom w:val="none" w:sz="0" w:space="0" w:color="auto"/>
            <w:right w:val="none" w:sz="0" w:space="0" w:color="auto"/>
          </w:divBdr>
          <w:divsChild>
            <w:div w:id="2039087489">
              <w:marLeft w:val="0"/>
              <w:marRight w:val="0"/>
              <w:marTop w:val="0"/>
              <w:marBottom w:val="0"/>
              <w:divBdr>
                <w:top w:val="none" w:sz="0" w:space="0" w:color="auto"/>
                <w:left w:val="none" w:sz="0" w:space="0" w:color="auto"/>
                <w:bottom w:val="none" w:sz="0" w:space="0" w:color="auto"/>
                <w:right w:val="none" w:sz="0" w:space="0" w:color="auto"/>
              </w:divBdr>
              <w:divsChild>
                <w:div w:id="388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D032-7740-4B3D-A690-1FCC1085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779</Words>
  <Characters>3748</Characters>
  <Application>Microsoft Office Word</Application>
  <DocSecurity>0</DocSecurity>
  <Lines>76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176</cp:revision>
  <dcterms:created xsi:type="dcterms:W3CDTF">2023-01-16T21:38:00Z</dcterms:created>
  <dcterms:modified xsi:type="dcterms:W3CDTF">2023-05-06T21:24:00Z</dcterms:modified>
</cp:coreProperties>
</file>