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A7582" w14:textId="77777777" w:rsidR="00FF29AA" w:rsidRPr="008A4DF0" w:rsidRDefault="00FF29AA">
      <w:pPr>
        <w:widowControl/>
        <w:spacing w:line="275" w:lineRule="auto"/>
        <w:jc w:val="both"/>
        <w:rPr>
          <w:b/>
          <w:bCs/>
          <w:sz w:val="28"/>
          <w:szCs w:val="28"/>
        </w:rPr>
      </w:pPr>
      <w:r w:rsidRPr="008A4DF0">
        <w:rPr>
          <w:sz w:val="28"/>
          <w:szCs w:val="28"/>
          <w:lang w:val="en-CA"/>
        </w:rPr>
        <w:fldChar w:fldCharType="begin"/>
      </w:r>
      <w:r w:rsidRPr="008A4DF0">
        <w:rPr>
          <w:sz w:val="28"/>
          <w:szCs w:val="28"/>
          <w:lang w:val="en-CA"/>
        </w:rPr>
        <w:instrText xml:space="preserve"> SEQ CHAPTER \h \r 1</w:instrText>
      </w:r>
      <w:r w:rsidRPr="008A4DF0">
        <w:rPr>
          <w:sz w:val="28"/>
          <w:szCs w:val="28"/>
          <w:lang w:val="en-CA"/>
        </w:rPr>
        <w:fldChar w:fldCharType="end"/>
      </w:r>
      <w:r w:rsidRPr="008A4DF0">
        <w:rPr>
          <w:b/>
          <w:bCs/>
          <w:sz w:val="28"/>
          <w:szCs w:val="28"/>
        </w:rPr>
        <w:t>8.0</w:t>
      </w:r>
      <w:r w:rsidR="00D44455">
        <w:rPr>
          <w:b/>
          <w:bCs/>
          <w:sz w:val="28"/>
          <w:szCs w:val="28"/>
        </w:rPr>
        <w:t>1</w:t>
      </w:r>
      <w:r w:rsidRPr="008A4DF0">
        <w:rPr>
          <w:b/>
          <w:bCs/>
          <w:sz w:val="28"/>
          <w:szCs w:val="28"/>
        </w:rPr>
        <w:t>. Admissibility of Hearsay</w:t>
      </w:r>
    </w:p>
    <w:p w14:paraId="017B0234" w14:textId="77777777" w:rsidR="00FF29AA" w:rsidRPr="008A4DF0" w:rsidRDefault="00FF29AA">
      <w:pPr>
        <w:widowControl/>
        <w:spacing w:line="275" w:lineRule="auto"/>
        <w:ind w:firstLine="720"/>
        <w:jc w:val="both"/>
        <w:rPr>
          <w:b/>
          <w:bCs/>
          <w:sz w:val="28"/>
          <w:szCs w:val="28"/>
        </w:rPr>
      </w:pPr>
    </w:p>
    <w:p w14:paraId="2ABF9428" w14:textId="77777777" w:rsidR="00FF29AA" w:rsidRPr="008A4DF0" w:rsidRDefault="00FF29AA">
      <w:pPr>
        <w:widowControl/>
        <w:spacing w:line="275" w:lineRule="auto"/>
        <w:ind w:firstLine="720"/>
        <w:jc w:val="both"/>
        <w:rPr>
          <w:sz w:val="28"/>
          <w:szCs w:val="28"/>
        </w:rPr>
        <w:sectPr w:rsidR="00FF29AA" w:rsidRPr="008A4DF0" w:rsidSect="00C31DC0">
          <w:footerReference w:type="default" r:id="rId7"/>
          <w:type w:val="continuous"/>
          <w:pgSz w:w="12240" w:h="15840"/>
          <w:pgMar w:top="1080" w:right="2160" w:bottom="1080" w:left="2160" w:header="1440" w:footer="1440" w:gutter="0"/>
          <w:cols w:space="720"/>
        </w:sectPr>
      </w:pPr>
    </w:p>
    <w:p w14:paraId="12A38286" w14:textId="48CDDFCC" w:rsidR="00FF29AA" w:rsidRPr="008A4DF0" w:rsidRDefault="00E44919" w:rsidP="00E44919">
      <w:pPr>
        <w:pStyle w:val="level1"/>
        <w:widowControl/>
        <w:tabs>
          <w:tab w:val="clear" w:pos="360"/>
          <w:tab w:val="clear" w:pos="7920"/>
          <w:tab w:val="right" w:pos="7200"/>
        </w:tabs>
        <w:ind w:left="720" w:right="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(1)</w:t>
      </w:r>
      <w:r w:rsidR="00FF29AA" w:rsidRPr="008A4DF0">
        <w:rPr>
          <w:b/>
          <w:bCs/>
          <w:sz w:val="28"/>
          <w:szCs w:val="28"/>
        </w:rPr>
        <w:t xml:space="preserve"> (a) Hearsay is not admissible unless it falls within an exception to the hearsay rule as provided by </w:t>
      </w:r>
      <w:r w:rsidR="0043702B">
        <w:rPr>
          <w:b/>
          <w:bCs/>
          <w:sz w:val="28"/>
          <w:szCs w:val="28"/>
        </w:rPr>
        <w:t>decisional</w:t>
      </w:r>
      <w:r w:rsidR="00FF29AA" w:rsidRPr="008A4DF0">
        <w:rPr>
          <w:b/>
          <w:bCs/>
          <w:sz w:val="28"/>
          <w:szCs w:val="28"/>
        </w:rPr>
        <w:t xml:space="preserve"> law or statute </w:t>
      </w:r>
      <w:r w:rsidR="00242C69">
        <w:rPr>
          <w:b/>
          <w:bCs/>
          <w:sz w:val="28"/>
          <w:szCs w:val="28"/>
        </w:rPr>
        <w:t>and is permissible under the Federal Constitution and New York Constitution as provided</w:t>
      </w:r>
      <w:r w:rsidR="005273D8">
        <w:rPr>
          <w:b/>
          <w:bCs/>
          <w:sz w:val="28"/>
          <w:szCs w:val="28"/>
        </w:rPr>
        <w:t xml:space="preserve"> in rule 8.02, or as provided in subdivision (1)(b) below.</w:t>
      </w:r>
    </w:p>
    <w:p w14:paraId="25D306CE" w14:textId="77777777" w:rsidR="00FF29AA" w:rsidRPr="008A4DF0" w:rsidRDefault="00FF29AA" w:rsidP="00A2510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720" w:right="720"/>
        <w:jc w:val="both"/>
        <w:rPr>
          <w:b/>
          <w:bCs/>
          <w:sz w:val="28"/>
          <w:szCs w:val="28"/>
        </w:rPr>
      </w:pPr>
    </w:p>
    <w:p w14:paraId="2BB8C230" w14:textId="687AABB9" w:rsidR="00FF29AA" w:rsidRPr="008A4DF0" w:rsidRDefault="00FF29AA" w:rsidP="00A2510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720" w:right="720"/>
        <w:jc w:val="both"/>
        <w:rPr>
          <w:b/>
          <w:bCs/>
          <w:sz w:val="28"/>
          <w:szCs w:val="28"/>
        </w:rPr>
      </w:pPr>
      <w:r w:rsidRPr="008A4DF0">
        <w:rPr>
          <w:b/>
          <w:bCs/>
          <w:sz w:val="28"/>
          <w:szCs w:val="28"/>
        </w:rPr>
        <w:t xml:space="preserve">(b) The Federal and New York State Constitutions require the admission of hearsay not encompassed within a hearsay exception when </w:t>
      </w:r>
      <w:r w:rsidR="00DF7367">
        <w:rPr>
          <w:b/>
          <w:bCs/>
          <w:sz w:val="28"/>
          <w:szCs w:val="28"/>
        </w:rPr>
        <w:t xml:space="preserve">the court finds that </w:t>
      </w:r>
      <w:bookmarkStart w:id="0" w:name="_GoBack"/>
      <w:bookmarkEnd w:id="0"/>
      <w:r w:rsidRPr="008A4DF0">
        <w:rPr>
          <w:b/>
          <w:bCs/>
          <w:sz w:val="28"/>
          <w:szCs w:val="28"/>
        </w:rPr>
        <w:t>the declarant is unavailable to testify and the hearsay is material, exculpatory and has sufficient indicia of reliability.</w:t>
      </w:r>
    </w:p>
    <w:p w14:paraId="69FE6B80" w14:textId="77777777" w:rsidR="00FF29AA" w:rsidRPr="008A4DF0" w:rsidRDefault="00FF29AA" w:rsidP="00A2510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720" w:right="720"/>
        <w:jc w:val="both"/>
        <w:rPr>
          <w:sz w:val="28"/>
          <w:szCs w:val="28"/>
        </w:rPr>
      </w:pPr>
    </w:p>
    <w:p w14:paraId="606EF2F4" w14:textId="77777777" w:rsidR="00FF29AA" w:rsidRPr="008A4DF0" w:rsidRDefault="00FF29AA" w:rsidP="00A2510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720" w:right="720"/>
        <w:jc w:val="both"/>
        <w:rPr>
          <w:b/>
          <w:bCs/>
          <w:sz w:val="28"/>
          <w:szCs w:val="28"/>
        </w:rPr>
      </w:pPr>
      <w:r w:rsidRPr="008A4DF0">
        <w:rPr>
          <w:b/>
          <w:bCs/>
          <w:sz w:val="28"/>
          <w:szCs w:val="28"/>
        </w:rPr>
        <w:t>(c) New York law does not currently recognize the “residual exception” to the hearsay rule set forth in Federal Rules of Evidence rule 807.</w:t>
      </w:r>
    </w:p>
    <w:p w14:paraId="1B6B523C" w14:textId="77777777" w:rsidR="00FF29AA" w:rsidRPr="008A4DF0" w:rsidRDefault="00FF29AA" w:rsidP="00A25104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720" w:right="720"/>
        <w:jc w:val="both"/>
        <w:rPr>
          <w:b/>
          <w:bCs/>
          <w:sz w:val="28"/>
          <w:szCs w:val="28"/>
        </w:rPr>
      </w:pPr>
    </w:p>
    <w:p w14:paraId="7F3E883B" w14:textId="77777777" w:rsidR="00FF29AA" w:rsidRPr="008A4DF0" w:rsidRDefault="00E44919" w:rsidP="00E44919">
      <w:pPr>
        <w:pStyle w:val="level1"/>
        <w:widowControl/>
        <w:tabs>
          <w:tab w:val="clear" w:pos="360"/>
          <w:tab w:val="clear" w:pos="7920"/>
          <w:tab w:val="right" w:pos="7200"/>
        </w:tabs>
        <w:ind w:left="720" w:right="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 w:rsidR="00FF29AA" w:rsidRPr="008A4DF0">
        <w:rPr>
          <w:b/>
          <w:bCs/>
          <w:sz w:val="28"/>
          <w:szCs w:val="28"/>
        </w:rPr>
        <w:t xml:space="preserve"> The burden of establishing the applicability of an exception rests upon the proponent of the statement. </w:t>
      </w:r>
      <w:r w:rsidR="00FF29AA" w:rsidRPr="008A4DF0">
        <w:rPr>
          <w:b/>
          <w:bCs/>
          <w:sz w:val="28"/>
          <w:szCs w:val="28"/>
        </w:rPr>
        <w:tab/>
      </w:r>
    </w:p>
    <w:p w14:paraId="1CFD47BB" w14:textId="77777777" w:rsidR="00FF29AA" w:rsidRPr="008A4DF0" w:rsidRDefault="00FF29AA" w:rsidP="00A25104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right="720"/>
        <w:jc w:val="both"/>
        <w:rPr>
          <w:b/>
          <w:bCs/>
          <w:sz w:val="28"/>
          <w:szCs w:val="28"/>
        </w:rPr>
      </w:pPr>
    </w:p>
    <w:p w14:paraId="3BB593FF" w14:textId="77777777" w:rsidR="00FF29AA" w:rsidRPr="008A4DF0" w:rsidRDefault="00E44919" w:rsidP="00E44919">
      <w:pPr>
        <w:pStyle w:val="level1"/>
        <w:widowControl/>
        <w:tabs>
          <w:tab w:val="clear" w:pos="360"/>
          <w:tab w:val="clear" w:pos="7920"/>
          <w:tab w:val="right" w:pos="7200"/>
        </w:tabs>
        <w:ind w:left="720" w:right="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(3)</w:t>
      </w:r>
      <w:r w:rsidR="00FF29AA" w:rsidRPr="008A4DF0">
        <w:rPr>
          <w:b/>
          <w:bCs/>
          <w:sz w:val="28"/>
          <w:szCs w:val="28"/>
        </w:rPr>
        <w:t xml:space="preserve"> A statement which is not offered for its truth is n</w:t>
      </w:r>
      <w:r w:rsidR="00A25104">
        <w:rPr>
          <w:b/>
          <w:bCs/>
          <w:sz w:val="28"/>
          <w:szCs w:val="28"/>
        </w:rPr>
        <w:t xml:space="preserve">ot barred by the hearsay rule. </w:t>
      </w:r>
    </w:p>
    <w:p w14:paraId="3FFB66EB" w14:textId="77777777" w:rsidR="00FF29AA" w:rsidRDefault="00FF29AA" w:rsidP="00A25104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jc w:val="both"/>
        <w:rPr>
          <w:b/>
          <w:bCs/>
          <w:sz w:val="28"/>
          <w:szCs w:val="28"/>
        </w:rPr>
      </w:pPr>
    </w:p>
    <w:p w14:paraId="2AA81193" w14:textId="77777777" w:rsidR="00FF29AA" w:rsidRDefault="00FF29AA" w:rsidP="00A25104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jc w:val="center"/>
        <w:rPr>
          <w:b/>
          <w:bCs/>
          <w:sz w:val="24"/>
          <w:szCs w:val="24"/>
        </w:rPr>
      </w:pPr>
      <w:r w:rsidRPr="008A4DF0">
        <w:rPr>
          <w:b/>
          <w:bCs/>
          <w:sz w:val="24"/>
          <w:szCs w:val="24"/>
        </w:rPr>
        <w:t>Note</w:t>
      </w:r>
    </w:p>
    <w:p w14:paraId="0CB703D4" w14:textId="77777777" w:rsidR="00A25104" w:rsidRPr="008A4DF0" w:rsidRDefault="00A25104" w:rsidP="00A25104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jc w:val="center"/>
        <w:rPr>
          <w:b/>
          <w:bCs/>
          <w:sz w:val="24"/>
          <w:szCs w:val="24"/>
        </w:rPr>
      </w:pPr>
    </w:p>
    <w:p w14:paraId="641AA42B" w14:textId="77777777" w:rsidR="00FF29AA" w:rsidRPr="008A4DF0" w:rsidRDefault="00FF29AA" w:rsidP="00A25104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firstLine="720"/>
        <w:jc w:val="both"/>
        <w:rPr>
          <w:sz w:val="24"/>
          <w:szCs w:val="24"/>
        </w:rPr>
      </w:pPr>
      <w:r w:rsidRPr="008A4DF0">
        <w:rPr>
          <w:b/>
          <w:bCs/>
          <w:sz w:val="24"/>
          <w:szCs w:val="24"/>
        </w:rPr>
        <w:t xml:space="preserve">Subdivision (1) (a). </w:t>
      </w:r>
      <w:r w:rsidRPr="008A4DF0">
        <w:rPr>
          <w:sz w:val="24"/>
          <w:szCs w:val="24"/>
        </w:rPr>
        <w:t xml:space="preserve">This subdivision is derived from </w:t>
      </w:r>
      <w:r w:rsidRPr="008A4DF0">
        <w:rPr>
          <w:i/>
          <w:iCs/>
          <w:sz w:val="24"/>
          <w:szCs w:val="24"/>
        </w:rPr>
        <w:t xml:space="preserve">Nucci v Proper </w:t>
      </w:r>
      <w:r w:rsidRPr="008A4DF0">
        <w:rPr>
          <w:sz w:val="24"/>
          <w:szCs w:val="24"/>
        </w:rPr>
        <w:t xml:space="preserve">(95 NY2d 597, 602 [2001] [Hearsay statements </w:t>
      </w:r>
      <w:r w:rsidR="000F5C6C" w:rsidRPr="008A4DF0">
        <w:rPr>
          <w:sz w:val="24"/>
          <w:szCs w:val="24"/>
        </w:rPr>
        <w:t>“‘</w:t>
      </w:r>
      <w:r w:rsidRPr="008A4DF0">
        <w:rPr>
          <w:sz w:val="24"/>
          <w:szCs w:val="24"/>
        </w:rPr>
        <w:t>may be received in evidence only if they fall within one of the recognized exceptions to the hearsay rule</w:t>
      </w:r>
      <w:r w:rsidR="000F5C6C" w:rsidRPr="008A4DF0">
        <w:rPr>
          <w:sz w:val="24"/>
          <w:szCs w:val="24"/>
        </w:rPr>
        <w:t>’</w:t>
      </w:r>
      <w:r w:rsidRPr="008A4DF0">
        <w:rPr>
          <w:sz w:val="24"/>
          <w:szCs w:val="24"/>
        </w:rPr>
        <w:t xml:space="preserve">”). It also reflects the Court of Appeals holdings that defendant has the constitutional right to introduce hearsay but under strict conditions set forth in subdivision (1) (b). </w:t>
      </w:r>
      <w:r w:rsidRPr="008A4DF0">
        <w:rPr>
          <w:iCs/>
          <w:sz w:val="24"/>
          <w:szCs w:val="24"/>
        </w:rPr>
        <w:t>(</w:t>
      </w:r>
      <w:r w:rsidRPr="008A4DF0">
        <w:rPr>
          <w:i/>
          <w:iCs/>
          <w:sz w:val="24"/>
          <w:szCs w:val="24"/>
        </w:rPr>
        <w:t>See e.g. People v Robinson</w:t>
      </w:r>
      <w:r w:rsidR="00247D14">
        <w:rPr>
          <w:sz w:val="24"/>
          <w:szCs w:val="24"/>
        </w:rPr>
        <w:t xml:space="preserve">, 89 NY2d 648, 650 </w:t>
      </w:r>
      <w:r w:rsidRPr="008A4DF0">
        <w:rPr>
          <w:sz w:val="24"/>
          <w:szCs w:val="24"/>
        </w:rPr>
        <w:t>[1997].)</w:t>
      </w:r>
    </w:p>
    <w:p w14:paraId="6D1902C0" w14:textId="77777777" w:rsidR="00FF29AA" w:rsidRPr="008A4DF0" w:rsidRDefault="00FF29AA" w:rsidP="00A25104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firstLine="720"/>
        <w:jc w:val="both"/>
        <w:rPr>
          <w:sz w:val="24"/>
          <w:szCs w:val="24"/>
        </w:rPr>
      </w:pPr>
    </w:p>
    <w:p w14:paraId="738B66A0" w14:textId="77777777" w:rsidR="00FF29AA" w:rsidRPr="008A4DF0" w:rsidRDefault="00247D14" w:rsidP="00A25104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29AA" w:rsidRPr="008A4DF0">
        <w:rPr>
          <w:sz w:val="24"/>
          <w:szCs w:val="24"/>
        </w:rPr>
        <w:t xml:space="preserve">New York evidence law provides for numerous hearsay exceptions, each with specific requirements which must be fulfilled before the statement is admissible. </w:t>
      </w:r>
      <w:r w:rsidR="00FF29AA" w:rsidRPr="008A4DF0">
        <w:rPr>
          <w:i/>
          <w:iCs/>
          <w:sz w:val="24"/>
          <w:szCs w:val="24"/>
        </w:rPr>
        <w:t>(See People v James</w:t>
      </w:r>
      <w:r w:rsidR="00FF29AA" w:rsidRPr="008A4DF0">
        <w:rPr>
          <w:sz w:val="24"/>
          <w:szCs w:val="24"/>
        </w:rPr>
        <w:t xml:space="preserve">, 93 NY2d 620, 634-635 [1999].) The source of these exceptions is both statutory and decision law. Statutory exceptions can be found in CPLR article 45 and CPL article 60, and throughout the consolidated </w:t>
      </w:r>
      <w:r w:rsidR="00FF29AA" w:rsidRPr="008A4DF0">
        <w:rPr>
          <w:sz w:val="24"/>
          <w:szCs w:val="24"/>
        </w:rPr>
        <w:lastRenderedPageBreak/>
        <w:t>laws. The judicially created exceptions are part of New York’s common law of evidence. (</w:t>
      </w:r>
      <w:r w:rsidR="00FF29AA" w:rsidRPr="008A4DF0">
        <w:rPr>
          <w:i/>
          <w:iCs/>
          <w:sz w:val="24"/>
          <w:szCs w:val="24"/>
        </w:rPr>
        <w:t>See Fleury v Edwards</w:t>
      </w:r>
      <w:r w:rsidR="00FF29AA" w:rsidRPr="008A4DF0">
        <w:rPr>
          <w:sz w:val="24"/>
          <w:szCs w:val="24"/>
        </w:rPr>
        <w:t xml:space="preserve">, 14 NY2d 334, 340 [1964 Fuld, J., concurring] [“The common law of evidence is constantly being refashioned by the courts of this . . . </w:t>
      </w:r>
      <w:proofErr w:type="gramStart"/>
      <w:r w:rsidR="00FF29AA" w:rsidRPr="008A4DF0">
        <w:rPr>
          <w:sz w:val="24"/>
          <w:szCs w:val="24"/>
        </w:rPr>
        <w:t>jurisdiction( )</w:t>
      </w:r>
      <w:proofErr w:type="gramEnd"/>
      <w:r w:rsidR="00FF29AA" w:rsidRPr="008A4DF0">
        <w:rPr>
          <w:sz w:val="24"/>
          <w:szCs w:val="24"/>
        </w:rPr>
        <w:t xml:space="preserve"> to meet the demands of modern litigation. Exceptions to the hearsay rule are being broadened and created where necessary.”]; </w:t>
      </w:r>
      <w:r w:rsidR="00FF29AA" w:rsidRPr="008A4DF0">
        <w:rPr>
          <w:i/>
          <w:iCs/>
          <w:sz w:val="24"/>
          <w:szCs w:val="24"/>
        </w:rPr>
        <w:t xml:space="preserve">see also People v Lynes, </w:t>
      </w:r>
      <w:r w:rsidR="00FF29AA" w:rsidRPr="008A4DF0">
        <w:rPr>
          <w:sz w:val="24"/>
          <w:szCs w:val="24"/>
        </w:rPr>
        <w:t>64 AD2d 543 [1978], affd 49 NY2d 286 [1980] [the determination of preliminary questions of fact on the admissibility of evidence “is not restricted by the ordinary exclusionary rules of evidence”].)</w:t>
      </w:r>
    </w:p>
    <w:p w14:paraId="45ECF119" w14:textId="77777777" w:rsidR="00FF29AA" w:rsidRPr="008A4DF0" w:rsidRDefault="00FF29AA" w:rsidP="00A25104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jc w:val="both"/>
        <w:rPr>
          <w:sz w:val="24"/>
          <w:szCs w:val="24"/>
        </w:rPr>
        <w:sectPr w:rsidR="00FF29AA" w:rsidRPr="008A4DF0" w:rsidSect="00C31DC0">
          <w:type w:val="continuous"/>
          <w:pgSz w:w="12240" w:h="15840"/>
          <w:pgMar w:top="1080" w:right="2160" w:bottom="1080" w:left="2160" w:header="1440" w:footer="1440" w:gutter="0"/>
          <w:cols w:space="720"/>
        </w:sectPr>
      </w:pPr>
    </w:p>
    <w:p w14:paraId="2DEA385B" w14:textId="77777777" w:rsidR="00FF29AA" w:rsidRPr="008A4DF0" w:rsidRDefault="00FF29AA" w:rsidP="00A25104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jc w:val="both"/>
        <w:rPr>
          <w:sz w:val="24"/>
          <w:szCs w:val="24"/>
        </w:rPr>
      </w:pPr>
      <w:r w:rsidRPr="008A4DF0">
        <w:rPr>
          <w:sz w:val="24"/>
          <w:szCs w:val="24"/>
        </w:rPr>
        <w:t xml:space="preserve"> </w:t>
      </w:r>
    </w:p>
    <w:p w14:paraId="0D80C098" w14:textId="77777777" w:rsidR="00FF29AA" w:rsidRPr="008A4DF0" w:rsidRDefault="00FF29AA" w:rsidP="00A25104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firstLine="720"/>
        <w:jc w:val="both"/>
        <w:rPr>
          <w:sz w:val="24"/>
          <w:szCs w:val="24"/>
        </w:rPr>
      </w:pPr>
      <w:r w:rsidRPr="008A4DF0">
        <w:rPr>
          <w:b/>
          <w:bCs/>
          <w:sz w:val="24"/>
          <w:szCs w:val="24"/>
        </w:rPr>
        <w:t>Subdivision (1) (b).</w:t>
      </w:r>
      <w:r w:rsidRPr="008A4DF0">
        <w:rPr>
          <w:sz w:val="24"/>
          <w:szCs w:val="24"/>
        </w:rPr>
        <w:t xml:space="preserve"> The applicability of a hearsay exception may be dictated by the </w:t>
      </w:r>
      <w:r w:rsidR="000F5C6C" w:rsidRPr="008A4DF0">
        <w:rPr>
          <w:sz w:val="24"/>
          <w:szCs w:val="24"/>
        </w:rPr>
        <w:t>C</w:t>
      </w:r>
      <w:r w:rsidRPr="008A4DF0">
        <w:rPr>
          <w:sz w:val="24"/>
          <w:szCs w:val="24"/>
        </w:rPr>
        <w:t>onstitution of New York or the United States, which both recognize that “a [criminal] defendant has a constitutional right to present a defense.”</w:t>
      </w:r>
      <w:r w:rsidRPr="008A4DF0">
        <w:rPr>
          <w:i/>
          <w:iCs/>
          <w:sz w:val="24"/>
          <w:szCs w:val="24"/>
        </w:rPr>
        <w:t xml:space="preserve"> </w:t>
      </w:r>
      <w:r w:rsidRPr="008A4DF0">
        <w:rPr>
          <w:iCs/>
          <w:sz w:val="24"/>
          <w:szCs w:val="24"/>
        </w:rPr>
        <w:t>(</w:t>
      </w:r>
      <w:r w:rsidRPr="008A4DF0">
        <w:rPr>
          <w:i/>
          <w:iCs/>
          <w:sz w:val="24"/>
          <w:szCs w:val="24"/>
        </w:rPr>
        <w:t>People v Hayes</w:t>
      </w:r>
      <w:r w:rsidRPr="008A4DF0">
        <w:rPr>
          <w:sz w:val="24"/>
          <w:szCs w:val="24"/>
        </w:rPr>
        <w:t>, 17 NY3d</w:t>
      </w:r>
      <w:r w:rsidR="000F5C6C" w:rsidRPr="008A4DF0">
        <w:rPr>
          <w:sz w:val="24"/>
          <w:szCs w:val="24"/>
        </w:rPr>
        <w:t xml:space="preserve"> 46, 53 ([2011</w:t>
      </w:r>
      <w:r w:rsidRPr="008A4DF0">
        <w:rPr>
          <w:sz w:val="24"/>
          <w:szCs w:val="24"/>
        </w:rPr>
        <w:t>];</w:t>
      </w:r>
      <w:r w:rsidRPr="008A4DF0">
        <w:rPr>
          <w:i/>
          <w:iCs/>
          <w:sz w:val="24"/>
          <w:szCs w:val="24"/>
        </w:rPr>
        <w:t xml:space="preserve"> Chambers v Mississippi</w:t>
      </w:r>
      <w:r w:rsidRPr="008A4DF0">
        <w:rPr>
          <w:sz w:val="24"/>
          <w:szCs w:val="24"/>
        </w:rPr>
        <w:t xml:space="preserve">, 410 US 284, 294 [1973]), and a </w:t>
      </w:r>
      <w:r w:rsidR="00B66D78" w:rsidRPr="008A4DF0">
        <w:rPr>
          <w:sz w:val="24"/>
          <w:szCs w:val="24"/>
        </w:rPr>
        <w:t>“</w:t>
      </w:r>
      <w:r w:rsidRPr="008A4DF0">
        <w:rPr>
          <w:sz w:val="24"/>
          <w:szCs w:val="24"/>
        </w:rPr>
        <w:t xml:space="preserve">[criminal] defendant’s right to due process requires admission of hearsay evidence when [the] declarant has become unavailable to testify and ‘the hearsay testimony is material, exculpatory and has sufficient indicia of reliability’” </w:t>
      </w:r>
      <w:r w:rsidRPr="008A4DF0">
        <w:rPr>
          <w:iCs/>
          <w:sz w:val="24"/>
          <w:szCs w:val="24"/>
        </w:rPr>
        <w:t>(</w:t>
      </w:r>
      <w:r w:rsidRPr="008A4DF0">
        <w:rPr>
          <w:i/>
          <w:iCs/>
          <w:sz w:val="24"/>
          <w:szCs w:val="24"/>
        </w:rPr>
        <w:t>People v Burns</w:t>
      </w:r>
      <w:r w:rsidRPr="008A4DF0">
        <w:rPr>
          <w:sz w:val="24"/>
          <w:szCs w:val="24"/>
        </w:rPr>
        <w:t xml:space="preserve">, 6 NY3d 793, 795 [2006]), quoting </w:t>
      </w:r>
      <w:r w:rsidRPr="008A4DF0">
        <w:rPr>
          <w:i/>
          <w:iCs/>
          <w:sz w:val="24"/>
          <w:szCs w:val="24"/>
        </w:rPr>
        <w:t>People v Robinson</w:t>
      </w:r>
      <w:r w:rsidRPr="008A4DF0">
        <w:rPr>
          <w:sz w:val="24"/>
          <w:szCs w:val="24"/>
        </w:rPr>
        <w:t>, 89 NY2d at 650</w:t>
      </w:r>
      <w:r w:rsidRPr="008A4DF0">
        <w:rPr>
          <w:i/>
          <w:iCs/>
          <w:sz w:val="24"/>
          <w:szCs w:val="24"/>
        </w:rPr>
        <w:t>, supra</w:t>
      </w:r>
      <w:r w:rsidRPr="008A4DF0">
        <w:rPr>
          <w:sz w:val="24"/>
          <w:szCs w:val="24"/>
        </w:rPr>
        <w:t xml:space="preserve"> [emphasis omitted]). </w:t>
      </w:r>
    </w:p>
    <w:p w14:paraId="1F695047" w14:textId="77777777" w:rsidR="00FF29AA" w:rsidRPr="008A4DF0" w:rsidRDefault="00FF29AA" w:rsidP="00A25104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firstLine="720"/>
        <w:jc w:val="both"/>
        <w:rPr>
          <w:sz w:val="24"/>
          <w:szCs w:val="24"/>
        </w:rPr>
      </w:pPr>
    </w:p>
    <w:p w14:paraId="26396B18" w14:textId="77777777" w:rsidR="00FF29AA" w:rsidRPr="008A4DF0" w:rsidRDefault="00FF29AA" w:rsidP="00A25104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firstLine="720"/>
        <w:jc w:val="both"/>
        <w:rPr>
          <w:sz w:val="24"/>
          <w:szCs w:val="24"/>
        </w:rPr>
      </w:pPr>
      <w:r w:rsidRPr="008A4DF0">
        <w:rPr>
          <w:b/>
          <w:bCs/>
          <w:sz w:val="24"/>
          <w:szCs w:val="24"/>
        </w:rPr>
        <w:t xml:space="preserve">Subdivision (1) (c). </w:t>
      </w:r>
      <w:r w:rsidRPr="008A4DF0">
        <w:rPr>
          <w:sz w:val="24"/>
          <w:szCs w:val="24"/>
        </w:rPr>
        <w:t>This subdivision</w:t>
      </w:r>
      <w:r w:rsidRPr="008A4DF0">
        <w:rPr>
          <w:b/>
          <w:bCs/>
          <w:sz w:val="24"/>
          <w:szCs w:val="24"/>
        </w:rPr>
        <w:t xml:space="preserve"> </w:t>
      </w:r>
      <w:r w:rsidRPr="008A4DF0">
        <w:rPr>
          <w:sz w:val="24"/>
          <w:szCs w:val="24"/>
        </w:rPr>
        <w:t xml:space="preserve">makes it clear that New York has not approved of a “residual exception” similar to Federal Rules of Evidence rule 807. </w:t>
      </w:r>
      <w:r w:rsidRPr="008A4DF0">
        <w:rPr>
          <w:iCs/>
          <w:sz w:val="24"/>
          <w:szCs w:val="24"/>
        </w:rPr>
        <w:t>(</w:t>
      </w:r>
      <w:r w:rsidRPr="008A4DF0">
        <w:rPr>
          <w:i/>
          <w:iCs/>
          <w:sz w:val="24"/>
          <w:szCs w:val="24"/>
        </w:rPr>
        <w:t>See People v Nieves</w:t>
      </w:r>
      <w:r w:rsidRPr="008A4DF0">
        <w:rPr>
          <w:sz w:val="24"/>
          <w:szCs w:val="24"/>
        </w:rPr>
        <w:t xml:space="preserve">, 67 NY2d 125, 131 [1986] </w:t>
      </w:r>
      <w:r w:rsidR="000F5C6C" w:rsidRPr="008A4DF0">
        <w:rPr>
          <w:sz w:val="24"/>
          <w:szCs w:val="24"/>
        </w:rPr>
        <w:t>[</w:t>
      </w:r>
      <w:r w:rsidRPr="008A4DF0">
        <w:rPr>
          <w:sz w:val="24"/>
          <w:szCs w:val="24"/>
        </w:rPr>
        <w:t xml:space="preserve">“we are not prepared at this time to abandon the well-established reliance on specific categories of hearsay exceptions in favor of an amorphous </w:t>
      </w:r>
      <w:r w:rsidR="00B66D78" w:rsidRPr="008A4DF0">
        <w:rPr>
          <w:sz w:val="24"/>
          <w:szCs w:val="24"/>
        </w:rPr>
        <w:t>‘</w:t>
      </w:r>
      <w:r w:rsidRPr="008A4DF0">
        <w:rPr>
          <w:sz w:val="24"/>
          <w:szCs w:val="24"/>
        </w:rPr>
        <w:t>reliability</w:t>
      </w:r>
      <w:r w:rsidR="00B66D78" w:rsidRPr="008A4DF0">
        <w:rPr>
          <w:sz w:val="24"/>
          <w:szCs w:val="24"/>
        </w:rPr>
        <w:t>’</w:t>
      </w:r>
      <w:r w:rsidRPr="008A4DF0">
        <w:rPr>
          <w:sz w:val="24"/>
          <w:szCs w:val="24"/>
        </w:rPr>
        <w:t xml:space="preserve"> test, particularly in criminal cases where to do so could raise confrontation clause problems”</w:t>
      </w:r>
      <w:r w:rsidR="000F5C6C" w:rsidRPr="008A4DF0">
        <w:rPr>
          <w:sz w:val="24"/>
          <w:szCs w:val="24"/>
        </w:rPr>
        <w:t>].</w:t>
      </w:r>
      <w:r w:rsidRPr="008A4DF0">
        <w:rPr>
          <w:sz w:val="24"/>
          <w:szCs w:val="24"/>
        </w:rPr>
        <w:t>)</w:t>
      </w:r>
    </w:p>
    <w:p w14:paraId="03CE2D26" w14:textId="77777777" w:rsidR="00FF29AA" w:rsidRPr="008A4DF0" w:rsidRDefault="00FF29AA" w:rsidP="00A25104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firstLine="720"/>
        <w:jc w:val="both"/>
        <w:rPr>
          <w:sz w:val="24"/>
          <w:szCs w:val="24"/>
        </w:rPr>
      </w:pPr>
    </w:p>
    <w:p w14:paraId="17A6AB7A" w14:textId="77777777" w:rsidR="00FF29AA" w:rsidRPr="008A4DF0" w:rsidRDefault="00FF29AA" w:rsidP="00A25104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firstLine="720"/>
        <w:jc w:val="both"/>
        <w:rPr>
          <w:sz w:val="24"/>
          <w:szCs w:val="24"/>
        </w:rPr>
      </w:pPr>
      <w:r w:rsidRPr="008A4DF0">
        <w:rPr>
          <w:b/>
          <w:bCs/>
          <w:sz w:val="24"/>
          <w:szCs w:val="24"/>
        </w:rPr>
        <w:t xml:space="preserve">Subdivision (2). </w:t>
      </w:r>
      <w:r w:rsidRPr="008A4DF0">
        <w:rPr>
          <w:sz w:val="24"/>
          <w:szCs w:val="24"/>
        </w:rPr>
        <w:t>This subdivision</w:t>
      </w:r>
      <w:r w:rsidRPr="008A4DF0">
        <w:rPr>
          <w:b/>
          <w:bCs/>
          <w:sz w:val="24"/>
          <w:szCs w:val="24"/>
        </w:rPr>
        <w:t xml:space="preserve"> </w:t>
      </w:r>
      <w:r w:rsidRPr="008A4DF0">
        <w:rPr>
          <w:sz w:val="24"/>
          <w:szCs w:val="24"/>
        </w:rPr>
        <w:t xml:space="preserve">restates New York's </w:t>
      </w:r>
      <w:proofErr w:type="gramStart"/>
      <w:r w:rsidRPr="008A4DF0">
        <w:rPr>
          <w:sz w:val="24"/>
          <w:szCs w:val="24"/>
        </w:rPr>
        <w:t>well established</w:t>
      </w:r>
      <w:proofErr w:type="gramEnd"/>
      <w:r w:rsidRPr="008A4DF0">
        <w:rPr>
          <w:sz w:val="24"/>
          <w:szCs w:val="24"/>
        </w:rPr>
        <w:t xml:space="preserve"> rule, as stated in </w:t>
      </w:r>
      <w:r w:rsidRPr="008A4DF0">
        <w:rPr>
          <w:i/>
          <w:iCs/>
          <w:sz w:val="24"/>
          <w:szCs w:val="24"/>
        </w:rPr>
        <w:t>Tyrrell v Wal-Mart Stores</w:t>
      </w:r>
      <w:r w:rsidRPr="008A4DF0">
        <w:rPr>
          <w:sz w:val="24"/>
          <w:szCs w:val="24"/>
        </w:rPr>
        <w:t xml:space="preserve"> (97 NY2d 650</w:t>
      </w:r>
      <w:r w:rsidR="000F5C6C" w:rsidRPr="008A4DF0">
        <w:rPr>
          <w:sz w:val="24"/>
          <w:szCs w:val="24"/>
        </w:rPr>
        <w:t>, 652</w:t>
      </w:r>
      <w:r w:rsidRPr="008A4DF0">
        <w:rPr>
          <w:sz w:val="24"/>
          <w:szCs w:val="24"/>
        </w:rPr>
        <w:t xml:space="preserve"> [2001])</w:t>
      </w:r>
      <w:r w:rsidR="000F5C6C" w:rsidRPr="008A4DF0">
        <w:rPr>
          <w:sz w:val="24"/>
          <w:szCs w:val="24"/>
        </w:rPr>
        <w:t>,</w:t>
      </w:r>
      <w:r w:rsidRPr="008A4DF0">
        <w:rPr>
          <w:sz w:val="24"/>
          <w:szCs w:val="24"/>
        </w:rPr>
        <w:t xml:space="preserve"> that </w:t>
      </w:r>
      <w:r w:rsidR="000F5C6C" w:rsidRPr="008A4DF0">
        <w:rPr>
          <w:sz w:val="24"/>
          <w:szCs w:val="24"/>
        </w:rPr>
        <w:t>“</w:t>
      </w:r>
      <w:r w:rsidRPr="008A4DF0">
        <w:rPr>
          <w:sz w:val="24"/>
          <w:szCs w:val="24"/>
        </w:rPr>
        <w:t>[t]he proponent of hearsay evidence must establish the applicability of a hearsay-rule exception.”</w:t>
      </w:r>
    </w:p>
    <w:p w14:paraId="700D2249" w14:textId="77777777" w:rsidR="00FF29AA" w:rsidRPr="008A4DF0" w:rsidRDefault="00FF29AA" w:rsidP="00A25104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firstLine="720"/>
        <w:jc w:val="both"/>
        <w:rPr>
          <w:sz w:val="24"/>
          <w:szCs w:val="24"/>
        </w:rPr>
      </w:pPr>
    </w:p>
    <w:p w14:paraId="42E948D9" w14:textId="77777777" w:rsidR="00FF29AA" w:rsidRPr="008A4DF0" w:rsidRDefault="00FF29AA" w:rsidP="00A25104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firstLine="720"/>
        <w:jc w:val="both"/>
        <w:rPr>
          <w:sz w:val="24"/>
          <w:szCs w:val="24"/>
        </w:rPr>
      </w:pPr>
      <w:r w:rsidRPr="008A4DF0">
        <w:rPr>
          <w:b/>
          <w:bCs/>
          <w:sz w:val="24"/>
          <w:szCs w:val="24"/>
        </w:rPr>
        <w:t xml:space="preserve">Subdivision (3). </w:t>
      </w:r>
      <w:r w:rsidRPr="008A4DF0">
        <w:rPr>
          <w:sz w:val="24"/>
          <w:szCs w:val="24"/>
        </w:rPr>
        <w:t>This subdivision</w:t>
      </w:r>
      <w:r w:rsidRPr="008A4DF0">
        <w:rPr>
          <w:b/>
          <w:bCs/>
          <w:sz w:val="24"/>
          <w:szCs w:val="24"/>
        </w:rPr>
        <w:t xml:space="preserve"> </w:t>
      </w:r>
      <w:r w:rsidRPr="008A4DF0">
        <w:rPr>
          <w:sz w:val="24"/>
          <w:szCs w:val="24"/>
        </w:rPr>
        <w:t xml:space="preserve">states expressly that which is implicit from the definition of hearsay set forth in </w:t>
      </w:r>
      <w:r w:rsidR="00F516E1" w:rsidRPr="008A4DF0">
        <w:rPr>
          <w:sz w:val="24"/>
          <w:szCs w:val="24"/>
        </w:rPr>
        <w:t>Guide</w:t>
      </w:r>
      <w:r w:rsidR="009E1BA1">
        <w:rPr>
          <w:sz w:val="24"/>
          <w:szCs w:val="24"/>
        </w:rPr>
        <w:t xml:space="preserve"> to New York</w:t>
      </w:r>
      <w:r w:rsidR="00F516E1" w:rsidRPr="008A4DF0">
        <w:rPr>
          <w:sz w:val="24"/>
          <w:szCs w:val="24"/>
        </w:rPr>
        <w:t xml:space="preserve"> Evidence </w:t>
      </w:r>
      <w:r w:rsidRPr="008A4DF0">
        <w:rPr>
          <w:sz w:val="24"/>
          <w:szCs w:val="24"/>
        </w:rPr>
        <w:t>rule 8.</w:t>
      </w:r>
      <w:r w:rsidR="00247D14">
        <w:rPr>
          <w:sz w:val="24"/>
          <w:szCs w:val="24"/>
        </w:rPr>
        <w:t>00 (</w:t>
      </w:r>
      <w:r w:rsidRPr="008A4DF0">
        <w:rPr>
          <w:sz w:val="24"/>
          <w:szCs w:val="24"/>
        </w:rPr>
        <w:t>1</w:t>
      </w:r>
      <w:r w:rsidR="00247D14">
        <w:rPr>
          <w:sz w:val="24"/>
          <w:szCs w:val="24"/>
        </w:rPr>
        <w:t>)</w:t>
      </w:r>
      <w:r w:rsidRPr="008A4DF0">
        <w:rPr>
          <w:sz w:val="24"/>
          <w:szCs w:val="24"/>
        </w:rPr>
        <w:t xml:space="preserve">. </w:t>
      </w:r>
      <w:r w:rsidRPr="008A4DF0">
        <w:rPr>
          <w:iCs/>
          <w:sz w:val="24"/>
          <w:szCs w:val="24"/>
        </w:rPr>
        <w:t>(</w:t>
      </w:r>
      <w:r w:rsidRPr="008A4DF0">
        <w:rPr>
          <w:i/>
          <w:iCs/>
          <w:sz w:val="24"/>
          <w:szCs w:val="24"/>
        </w:rPr>
        <w:t xml:space="preserve">See People v Ricco, </w:t>
      </w:r>
      <w:r w:rsidRPr="008A4DF0">
        <w:rPr>
          <w:sz w:val="24"/>
          <w:szCs w:val="24"/>
        </w:rPr>
        <w:t>56 NY2d 320, 328 [1982] [“a relevant extrajudicial statement introduced for the fact that it was made rather than for its contents . . . is not interdicted by the hearsay rule”].)</w:t>
      </w:r>
    </w:p>
    <w:sectPr w:rsidR="00FF29AA" w:rsidRPr="008A4DF0" w:rsidSect="00C31DC0">
      <w:footerReference w:type="default" r:id="rId8"/>
      <w:type w:val="continuous"/>
      <w:pgSz w:w="12240" w:h="15840"/>
      <w:pgMar w:top="1080" w:right="2160" w:bottom="1080" w:left="2160" w:header="144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8642B" w14:textId="77777777" w:rsidR="00006AA3" w:rsidRDefault="00006AA3">
      <w:r>
        <w:separator/>
      </w:r>
    </w:p>
  </w:endnote>
  <w:endnote w:type="continuationSeparator" w:id="0">
    <w:p w14:paraId="4B2509AD" w14:textId="77777777" w:rsidR="00006AA3" w:rsidRDefault="0000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9D346" w14:textId="77777777" w:rsidR="008A4DF0" w:rsidRDefault="008A4DF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4919">
      <w:rPr>
        <w:noProof/>
      </w:rPr>
      <w:t>1</w:t>
    </w:r>
    <w:r>
      <w:fldChar w:fldCharType="end"/>
    </w:r>
  </w:p>
  <w:p w14:paraId="6A6B2035" w14:textId="77777777" w:rsidR="008A4DF0" w:rsidRDefault="008A4D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7359B" w14:textId="77777777" w:rsidR="00FF29AA" w:rsidRDefault="00FF29AA">
    <w:pPr>
      <w:pStyle w:val="Footer"/>
      <w:widowControl/>
      <w:tabs>
        <w:tab w:val="clear" w:pos="0"/>
        <w:tab w:val="clear" w:pos="4680"/>
        <w:tab w:val="clear" w:pos="7920"/>
        <w:tab w:val="left" w:pos="864"/>
        <w:tab w:val="center" w:pos="5544"/>
        <w:tab w:val="right" w:pos="8784"/>
      </w:tabs>
      <w:ind w:left="864" w:right="864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BADD9" w14:textId="77777777" w:rsidR="00006AA3" w:rsidRDefault="00006AA3">
      <w:r>
        <w:separator/>
      </w:r>
    </w:p>
  </w:footnote>
  <w:footnote w:type="continuationSeparator" w:id="0">
    <w:p w14:paraId="12861BF4" w14:textId="77777777" w:rsidR="00006AA3" w:rsidRDefault="00006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74115"/>
    <w:multiLevelType w:val="multilevel"/>
    <w:tmpl w:val="1E005A8A"/>
    <w:lvl w:ilvl="0">
      <w:start w:val="1"/>
      <w:numFmt w:val="decimal"/>
      <w:lvlText w:val="(%1)"/>
      <w:legacy w:legacy="1" w:legacySpace="0" w:legacyIndent="0"/>
      <w:lvlJc w:val="left"/>
      <w:pPr>
        <w:ind w:left="1080"/>
      </w:pPr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pPr>
        <w:ind w:left="108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pPr>
        <w:ind w:left="1080"/>
      </w:pPr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pPr>
        <w:ind w:left="1080"/>
      </w:pPr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pPr>
        <w:ind w:left="108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pPr>
        <w:ind w:left="1080"/>
      </w:pPr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pPr>
        <w:ind w:left="1080"/>
      </w:pPr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pPr>
        <w:ind w:left="10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oNotTrackMoves/>
  <w:defaultTabStop w:val="720"/>
  <w:hyphenationZone w:val="36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C972937B-0999-4B8A-896F-4E395E610F37}"/>
    <w:docVar w:name="dgnword-eventsink" w:val="422768840"/>
  </w:docVars>
  <w:rsids>
    <w:rsidRoot w:val="000F5C6C"/>
    <w:rsid w:val="00006AA3"/>
    <w:rsid w:val="000E2ED9"/>
    <w:rsid w:val="000F5C6C"/>
    <w:rsid w:val="00242C69"/>
    <w:rsid w:val="00247D14"/>
    <w:rsid w:val="0043702B"/>
    <w:rsid w:val="005273D8"/>
    <w:rsid w:val="00632FB5"/>
    <w:rsid w:val="00733923"/>
    <w:rsid w:val="00795C5D"/>
    <w:rsid w:val="008A4DF0"/>
    <w:rsid w:val="009E1BA1"/>
    <w:rsid w:val="00A25104"/>
    <w:rsid w:val="00B36E28"/>
    <w:rsid w:val="00B66D78"/>
    <w:rsid w:val="00C31DC0"/>
    <w:rsid w:val="00D44455"/>
    <w:rsid w:val="00DF7367"/>
    <w:rsid w:val="00E44919"/>
    <w:rsid w:val="00ED08D7"/>
    <w:rsid w:val="00F516E1"/>
    <w:rsid w:val="00F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665F4"/>
  <w14:defaultImageDpi w14:val="0"/>
  <w15:docId w15:val="{7F9CAA7E-9872-4BF2-B43F-28DCABEF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_level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_level3"/>
    <w:uiPriority w:val="99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_level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_level5"/>
    <w:uiPriority w:val="99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_level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_level7"/>
    <w:uiPriority w:val="99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_level8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level90">
    <w:name w:val="_level9"/>
    <w:uiPriority w:val="99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ind w:left="3240" w:hanging="360"/>
      <w:jc w:val="both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680"/>
        <w:tab w:val="right" w:pos="7920"/>
      </w:tabs>
      <w:jc w:val="both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4D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A4DF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Whiteman</dc:creator>
  <cp:keywords/>
  <dc:description/>
  <cp:lastModifiedBy>Bill Donnino</cp:lastModifiedBy>
  <cp:revision>8</cp:revision>
  <dcterms:created xsi:type="dcterms:W3CDTF">2017-03-31T17:12:00Z</dcterms:created>
  <dcterms:modified xsi:type="dcterms:W3CDTF">2018-11-03T18:17:00Z</dcterms:modified>
</cp:coreProperties>
</file>