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011E4" w14:textId="46F08D2E" w:rsidR="00D81F50" w:rsidRPr="00EB0740" w:rsidRDefault="00EB0740" w:rsidP="00EB0740">
      <w:pPr>
        <w:shd w:val="clear" w:color="auto" w:fill="FFFFFF"/>
        <w:spacing w:before="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4.35.1 </w:t>
      </w:r>
      <w:r w:rsidR="00D74C07" w:rsidRPr="00EB0740">
        <w:rPr>
          <w:rFonts w:eastAsia="Times New Roman"/>
          <w:b/>
          <w:bCs/>
          <w:sz w:val="28"/>
          <w:szCs w:val="28"/>
        </w:rPr>
        <w:t>Identification</w:t>
      </w:r>
      <w:r w:rsidR="0092265D" w:rsidRPr="00EB0740">
        <w:rPr>
          <w:rFonts w:eastAsia="Times New Roman"/>
          <w:b/>
          <w:bCs/>
          <w:sz w:val="28"/>
          <w:szCs w:val="28"/>
        </w:rPr>
        <w:t>; Composite Sketch</w:t>
      </w:r>
    </w:p>
    <w:p w14:paraId="4D3F14DA" w14:textId="77777777" w:rsidR="00001F12" w:rsidRPr="00077DB2" w:rsidRDefault="00001F12" w:rsidP="00077DB2">
      <w:pPr>
        <w:shd w:val="clear" w:color="auto" w:fill="FFFFFF"/>
        <w:spacing w:before="0"/>
        <w:rPr>
          <w:rFonts w:eastAsia="Times New Roman"/>
          <w:b/>
          <w:bCs/>
          <w:sz w:val="28"/>
          <w:szCs w:val="28"/>
        </w:rPr>
      </w:pPr>
    </w:p>
    <w:p w14:paraId="021203E2" w14:textId="23E277CF" w:rsidR="00E91B3F" w:rsidRPr="00077DB2" w:rsidRDefault="00077DB2" w:rsidP="00077DB2">
      <w:pPr>
        <w:pStyle w:val="ListParagraph"/>
        <w:shd w:val="clear" w:color="auto" w:fill="FFFFFF"/>
        <w:spacing w:before="0"/>
        <w:ind w:right="72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(1) </w:t>
      </w:r>
      <w:r w:rsidR="00E91B3F" w:rsidRPr="00077DB2">
        <w:rPr>
          <w:rFonts w:eastAsia="Times New Roman"/>
          <w:b/>
          <w:bCs/>
          <w:sz w:val="28"/>
          <w:szCs w:val="28"/>
        </w:rPr>
        <w:t xml:space="preserve">A composite sketch of </w:t>
      </w:r>
      <w:r w:rsidR="003D7BA6" w:rsidRPr="00077DB2">
        <w:rPr>
          <w:rFonts w:eastAsia="Times New Roman"/>
          <w:b/>
          <w:bCs/>
          <w:sz w:val="28"/>
          <w:szCs w:val="28"/>
        </w:rPr>
        <w:t xml:space="preserve">a person alleged to have committed an offense is </w:t>
      </w:r>
      <w:r w:rsidR="00392625" w:rsidRPr="00077DB2">
        <w:rPr>
          <w:rFonts w:eastAsia="Times New Roman"/>
          <w:b/>
          <w:bCs/>
          <w:sz w:val="28"/>
          <w:szCs w:val="28"/>
        </w:rPr>
        <w:t xml:space="preserve">hearsay and is thus </w:t>
      </w:r>
      <w:r w:rsidR="003D7BA6" w:rsidRPr="000E24CC">
        <w:rPr>
          <w:rFonts w:eastAsia="Times New Roman"/>
          <w:b/>
          <w:bCs/>
          <w:sz w:val="28"/>
          <w:szCs w:val="28"/>
        </w:rPr>
        <w:t>inadmissible</w:t>
      </w:r>
      <w:r w:rsidR="00614605" w:rsidRPr="000E24CC">
        <w:rPr>
          <w:rFonts w:eastAsia="Times New Roman"/>
          <w:b/>
          <w:bCs/>
          <w:sz w:val="28"/>
          <w:szCs w:val="28"/>
        </w:rPr>
        <w:t xml:space="preserve"> to prove guilt</w:t>
      </w:r>
      <w:r w:rsidR="003D7BA6" w:rsidRPr="000E24CC">
        <w:rPr>
          <w:rFonts w:eastAsia="Times New Roman"/>
          <w:b/>
          <w:bCs/>
          <w:sz w:val="28"/>
          <w:szCs w:val="28"/>
        </w:rPr>
        <w:t>.</w:t>
      </w:r>
    </w:p>
    <w:p w14:paraId="30CE5C99" w14:textId="77777777" w:rsidR="00614605" w:rsidRPr="00077DB2" w:rsidRDefault="00614605" w:rsidP="00077DB2">
      <w:pPr>
        <w:shd w:val="clear" w:color="auto" w:fill="FFFFFF"/>
        <w:spacing w:before="0"/>
        <w:ind w:right="720"/>
        <w:jc w:val="both"/>
        <w:rPr>
          <w:rFonts w:eastAsia="Times New Roman"/>
          <w:b/>
          <w:bCs/>
          <w:sz w:val="28"/>
          <w:szCs w:val="28"/>
        </w:rPr>
      </w:pPr>
    </w:p>
    <w:p w14:paraId="14220B3F" w14:textId="5C1EA9F0" w:rsidR="00A33419" w:rsidRPr="00077DB2" w:rsidRDefault="00077DB2" w:rsidP="00077DB2">
      <w:pPr>
        <w:pStyle w:val="ListParagraph"/>
        <w:shd w:val="clear" w:color="auto" w:fill="FFFFFF"/>
        <w:spacing w:before="0"/>
        <w:ind w:right="72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(2) </w:t>
      </w:r>
      <w:r w:rsidR="00392625" w:rsidRPr="00077DB2">
        <w:rPr>
          <w:rFonts w:eastAsia="Times New Roman"/>
          <w:b/>
          <w:bCs/>
          <w:sz w:val="28"/>
          <w:szCs w:val="28"/>
        </w:rPr>
        <w:t>A composite sketch may be adm</w:t>
      </w:r>
      <w:r w:rsidR="00B532A2" w:rsidRPr="00077DB2">
        <w:rPr>
          <w:rFonts w:eastAsia="Times New Roman"/>
          <w:b/>
          <w:bCs/>
          <w:sz w:val="28"/>
          <w:szCs w:val="28"/>
        </w:rPr>
        <w:t>itted</w:t>
      </w:r>
      <w:r w:rsidR="00127D8A" w:rsidRPr="00077DB2">
        <w:rPr>
          <w:rFonts w:eastAsia="Times New Roman"/>
          <w:b/>
          <w:bCs/>
          <w:sz w:val="28"/>
          <w:szCs w:val="28"/>
        </w:rPr>
        <w:t xml:space="preserve"> </w:t>
      </w:r>
      <w:r w:rsidR="009E4B38" w:rsidRPr="00077DB2">
        <w:rPr>
          <w:rFonts w:eastAsia="Times New Roman"/>
          <w:b/>
          <w:bCs/>
          <w:sz w:val="28"/>
          <w:szCs w:val="28"/>
        </w:rPr>
        <w:t xml:space="preserve">for a </w:t>
      </w:r>
      <w:r w:rsidR="00713966" w:rsidRPr="00077DB2">
        <w:rPr>
          <w:rFonts w:eastAsia="Times New Roman"/>
          <w:b/>
          <w:bCs/>
          <w:sz w:val="28"/>
          <w:szCs w:val="28"/>
        </w:rPr>
        <w:t xml:space="preserve">purpose </w:t>
      </w:r>
      <w:r w:rsidR="00713966" w:rsidRPr="000E24CC">
        <w:rPr>
          <w:rFonts w:eastAsia="Times New Roman"/>
          <w:b/>
          <w:bCs/>
          <w:sz w:val="28"/>
          <w:szCs w:val="28"/>
        </w:rPr>
        <w:t>other than to prove the guilt</w:t>
      </w:r>
      <w:r w:rsidR="00713966" w:rsidRPr="00077DB2">
        <w:rPr>
          <w:rFonts w:eastAsia="Times New Roman"/>
          <w:b/>
          <w:bCs/>
          <w:sz w:val="28"/>
          <w:szCs w:val="28"/>
        </w:rPr>
        <w:t xml:space="preserve"> of a defendant</w:t>
      </w:r>
      <w:r w:rsidR="00D10058" w:rsidRPr="00077DB2">
        <w:rPr>
          <w:rFonts w:eastAsia="Times New Roman"/>
          <w:b/>
          <w:bCs/>
          <w:sz w:val="28"/>
          <w:szCs w:val="28"/>
        </w:rPr>
        <w:t>; for example</w:t>
      </w:r>
      <w:r w:rsidR="00C17725" w:rsidRPr="00077DB2">
        <w:rPr>
          <w:rFonts w:eastAsia="Times New Roman"/>
          <w:b/>
          <w:bCs/>
          <w:sz w:val="28"/>
          <w:szCs w:val="28"/>
        </w:rPr>
        <w:t>, a composite sketch may be admitted:</w:t>
      </w:r>
    </w:p>
    <w:p w14:paraId="79163A5D" w14:textId="77777777" w:rsidR="00A33419" w:rsidRPr="00077DB2" w:rsidRDefault="00A33419" w:rsidP="00077DB2">
      <w:pPr>
        <w:spacing w:before="0"/>
        <w:ind w:right="720"/>
        <w:rPr>
          <w:rFonts w:eastAsia="Times New Roman"/>
          <w:b/>
          <w:bCs/>
          <w:sz w:val="28"/>
          <w:szCs w:val="28"/>
        </w:rPr>
      </w:pPr>
    </w:p>
    <w:p w14:paraId="6B7B5FC4" w14:textId="42F4D22A" w:rsidR="00C23AC5" w:rsidRPr="00077DB2" w:rsidRDefault="00077DB2" w:rsidP="00077DB2">
      <w:pPr>
        <w:pStyle w:val="ListParagraph"/>
        <w:shd w:val="clear" w:color="auto" w:fill="FFFFFF"/>
        <w:spacing w:before="0"/>
        <w:ind w:left="1080" w:right="72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(a) </w:t>
      </w:r>
      <w:r w:rsidR="00392625" w:rsidRPr="00077DB2">
        <w:rPr>
          <w:rFonts w:eastAsia="Times New Roman"/>
          <w:b/>
          <w:bCs/>
          <w:sz w:val="28"/>
          <w:szCs w:val="28"/>
        </w:rPr>
        <w:t>as a prior consistent statement where the testimony of an identifying witness is assailed as a recent fabrication</w:t>
      </w:r>
      <w:r w:rsidR="00780217">
        <w:rPr>
          <w:rFonts w:eastAsia="Times New Roman"/>
          <w:b/>
          <w:bCs/>
          <w:sz w:val="28"/>
          <w:szCs w:val="28"/>
        </w:rPr>
        <w:t>;</w:t>
      </w:r>
    </w:p>
    <w:p w14:paraId="1DEBFDE9" w14:textId="77777777" w:rsidR="00C23AC5" w:rsidRPr="00077DB2" w:rsidRDefault="00C23AC5" w:rsidP="00077DB2">
      <w:pPr>
        <w:shd w:val="clear" w:color="auto" w:fill="FFFFFF"/>
        <w:spacing w:before="0"/>
        <w:ind w:right="720"/>
        <w:jc w:val="both"/>
        <w:rPr>
          <w:rFonts w:eastAsia="Times New Roman"/>
          <w:b/>
          <w:bCs/>
          <w:sz w:val="28"/>
          <w:szCs w:val="28"/>
        </w:rPr>
      </w:pPr>
    </w:p>
    <w:p w14:paraId="69A2DBC9" w14:textId="027EE4AE" w:rsidR="003D7BA6" w:rsidRPr="00077DB2" w:rsidRDefault="00077DB2" w:rsidP="00077DB2">
      <w:pPr>
        <w:pStyle w:val="ListParagraph"/>
        <w:shd w:val="clear" w:color="auto" w:fill="FFFFFF"/>
        <w:tabs>
          <w:tab w:val="left" w:pos="1080"/>
        </w:tabs>
        <w:spacing w:before="0"/>
        <w:ind w:left="1080" w:right="72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(b) </w:t>
      </w:r>
      <w:r w:rsidR="00C23AC5" w:rsidRPr="00077DB2">
        <w:rPr>
          <w:rFonts w:eastAsia="Times New Roman"/>
          <w:b/>
          <w:bCs/>
          <w:sz w:val="28"/>
          <w:szCs w:val="28"/>
        </w:rPr>
        <w:t>to show inconsistencies between an in-court identification and a witness</w:t>
      </w:r>
      <w:r w:rsidR="002E3CF5">
        <w:rPr>
          <w:rFonts w:eastAsia="Times New Roman"/>
          <w:b/>
          <w:bCs/>
          <w:sz w:val="28"/>
          <w:szCs w:val="28"/>
        </w:rPr>
        <w:t>’</w:t>
      </w:r>
      <w:r w:rsidR="00C23AC5" w:rsidRPr="00077DB2">
        <w:rPr>
          <w:rFonts w:eastAsia="Times New Roman"/>
          <w:b/>
          <w:bCs/>
          <w:sz w:val="28"/>
          <w:szCs w:val="28"/>
        </w:rPr>
        <w:t>s prior description as recorded in the sketch; or</w:t>
      </w:r>
    </w:p>
    <w:p w14:paraId="45F9BF7C" w14:textId="77777777" w:rsidR="00BC2CF0" w:rsidRPr="00077DB2" w:rsidRDefault="00BC2CF0" w:rsidP="00077DB2">
      <w:pPr>
        <w:spacing w:before="0"/>
        <w:ind w:right="720"/>
        <w:jc w:val="both"/>
        <w:rPr>
          <w:rFonts w:eastAsia="Times New Roman"/>
          <w:b/>
          <w:bCs/>
          <w:sz w:val="28"/>
          <w:szCs w:val="28"/>
        </w:rPr>
      </w:pPr>
    </w:p>
    <w:p w14:paraId="7195FC23" w14:textId="0972E01A" w:rsidR="00A42E20" w:rsidRPr="00077DB2" w:rsidRDefault="00077DB2" w:rsidP="00077DB2">
      <w:pPr>
        <w:pStyle w:val="ListParagraph"/>
        <w:shd w:val="clear" w:color="auto" w:fill="FFFFFF"/>
        <w:spacing w:before="0"/>
        <w:ind w:left="1080" w:right="72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(c) </w:t>
      </w:r>
      <w:r w:rsidR="00BC2CF0" w:rsidRPr="00077DB2">
        <w:rPr>
          <w:rFonts w:eastAsia="Times New Roman"/>
          <w:b/>
          <w:bCs/>
          <w:sz w:val="28"/>
          <w:szCs w:val="28"/>
        </w:rPr>
        <w:t>to</w:t>
      </w:r>
      <w:r w:rsidR="00320B4E" w:rsidRPr="00077DB2">
        <w:rPr>
          <w:rFonts w:eastAsia="Times New Roman"/>
          <w:b/>
          <w:bCs/>
          <w:sz w:val="28"/>
          <w:szCs w:val="28"/>
        </w:rPr>
        <w:t xml:space="preserve"> </w:t>
      </w:r>
      <w:r w:rsidR="00E91CD8" w:rsidRPr="00077DB2">
        <w:rPr>
          <w:rFonts w:eastAsia="Times New Roman"/>
          <w:b/>
          <w:bCs/>
          <w:sz w:val="28"/>
          <w:szCs w:val="28"/>
        </w:rPr>
        <w:t>show</w:t>
      </w:r>
      <w:r w:rsidR="00A12225" w:rsidRPr="00077DB2">
        <w:rPr>
          <w:rFonts w:eastAsia="Times New Roman"/>
          <w:b/>
          <w:bCs/>
          <w:sz w:val="28"/>
          <w:szCs w:val="28"/>
        </w:rPr>
        <w:t xml:space="preserve"> </w:t>
      </w:r>
      <w:r w:rsidR="00A42E20" w:rsidRPr="00077DB2">
        <w:rPr>
          <w:rFonts w:eastAsia="Times New Roman"/>
          <w:b/>
          <w:bCs/>
          <w:sz w:val="28"/>
          <w:szCs w:val="28"/>
        </w:rPr>
        <w:t xml:space="preserve">at a suppression hearing </w:t>
      </w:r>
      <w:r w:rsidR="00434DCC" w:rsidRPr="00077DB2">
        <w:rPr>
          <w:rFonts w:eastAsia="Times New Roman"/>
          <w:b/>
          <w:bCs/>
          <w:sz w:val="28"/>
          <w:szCs w:val="28"/>
        </w:rPr>
        <w:t xml:space="preserve">that there was, or was not, </w:t>
      </w:r>
      <w:r w:rsidR="00160A95" w:rsidRPr="00077DB2">
        <w:rPr>
          <w:rFonts w:eastAsia="Times New Roman"/>
          <w:b/>
          <w:bCs/>
          <w:sz w:val="28"/>
          <w:szCs w:val="28"/>
        </w:rPr>
        <w:t>a basis for a finding of reasonable suspicion or probable cause.</w:t>
      </w:r>
    </w:p>
    <w:p w14:paraId="2A796E33" w14:textId="77777777" w:rsidR="00B52616" w:rsidRPr="00077DB2" w:rsidRDefault="00B52616" w:rsidP="00077DB2">
      <w:pPr>
        <w:spacing w:before="0"/>
        <w:jc w:val="both"/>
        <w:rPr>
          <w:rFonts w:eastAsia="Times New Roman"/>
          <w:sz w:val="28"/>
          <w:szCs w:val="28"/>
        </w:rPr>
      </w:pPr>
    </w:p>
    <w:p w14:paraId="4C13CB12" w14:textId="655C4F26" w:rsidR="00CB5636" w:rsidRPr="00077DB2" w:rsidRDefault="00CB5636" w:rsidP="00077DB2">
      <w:pPr>
        <w:shd w:val="clear" w:color="auto" w:fill="FFFFFF"/>
        <w:spacing w:before="0"/>
        <w:jc w:val="center"/>
        <w:rPr>
          <w:rFonts w:eastAsia="Times New Roman"/>
          <w:b/>
          <w:bCs/>
        </w:rPr>
      </w:pPr>
      <w:r w:rsidRPr="00077DB2">
        <w:rPr>
          <w:rFonts w:eastAsia="Times New Roman"/>
          <w:b/>
          <w:bCs/>
        </w:rPr>
        <w:t>Note</w:t>
      </w:r>
    </w:p>
    <w:p w14:paraId="04F9700A" w14:textId="77777777" w:rsidR="00D81F50" w:rsidRPr="00077DB2" w:rsidRDefault="00D81F50" w:rsidP="00077DB2">
      <w:pPr>
        <w:shd w:val="clear" w:color="auto" w:fill="FFFFFF"/>
        <w:spacing w:before="0"/>
        <w:jc w:val="both"/>
        <w:rPr>
          <w:rFonts w:eastAsia="Times New Roman"/>
        </w:rPr>
      </w:pPr>
    </w:p>
    <w:p w14:paraId="7BDB6C92" w14:textId="564AF230" w:rsidR="00934D5C" w:rsidRPr="00077DB2" w:rsidRDefault="00EB0740" w:rsidP="00EB0740">
      <w:pPr>
        <w:shd w:val="clear" w:color="auto" w:fill="FFFFFF"/>
        <w:tabs>
          <w:tab w:val="left" w:pos="720"/>
        </w:tabs>
        <w:spacing w:before="0"/>
        <w:jc w:val="both"/>
        <w:rPr>
          <w:rFonts w:eastAsia="Times New Roman"/>
        </w:rPr>
      </w:pPr>
      <w:r>
        <w:rPr>
          <w:rFonts w:eastAsia="Times New Roman"/>
        </w:rPr>
        <w:tab/>
      </w:r>
      <w:r w:rsidR="00133ABC" w:rsidRPr="00077DB2">
        <w:rPr>
          <w:rFonts w:eastAsia="Times New Roman"/>
        </w:rPr>
        <w:t xml:space="preserve">This rule </w:t>
      </w:r>
      <w:r w:rsidR="003833DD" w:rsidRPr="00077DB2">
        <w:rPr>
          <w:rFonts w:eastAsia="Times New Roman"/>
        </w:rPr>
        <w:t>is derived from</w:t>
      </w:r>
      <w:r w:rsidR="002F2E2C" w:rsidRPr="00077DB2">
        <w:rPr>
          <w:rFonts w:eastAsia="Times New Roman"/>
        </w:rPr>
        <w:t xml:space="preserve"> </w:t>
      </w:r>
      <w:r w:rsidR="00C1558B" w:rsidRPr="00077DB2">
        <w:rPr>
          <w:rFonts w:eastAsia="Times New Roman"/>
        </w:rPr>
        <w:t>three</w:t>
      </w:r>
      <w:r w:rsidR="002F2E2C" w:rsidRPr="00077DB2">
        <w:rPr>
          <w:rFonts w:eastAsia="Times New Roman"/>
        </w:rPr>
        <w:t xml:space="preserve"> Court of Appeals cases</w:t>
      </w:r>
      <w:r w:rsidR="00133ABC" w:rsidRPr="00077DB2">
        <w:rPr>
          <w:rFonts w:eastAsia="Times New Roman"/>
        </w:rPr>
        <w:t>:</w:t>
      </w:r>
      <w:r w:rsidR="00934D5C" w:rsidRPr="00077DB2">
        <w:rPr>
          <w:rFonts w:eastAsia="Times New Roman"/>
        </w:rPr>
        <w:t xml:space="preserve"> </w:t>
      </w:r>
      <w:r w:rsidR="00AA4625" w:rsidRPr="00077DB2">
        <w:rPr>
          <w:rFonts w:eastAsia="Times New Roman"/>
          <w:i/>
          <w:iCs/>
        </w:rPr>
        <w:t xml:space="preserve">People v </w:t>
      </w:r>
      <w:bookmarkStart w:id="0" w:name="_Hlk133596661"/>
      <w:r w:rsidR="00AA4625" w:rsidRPr="00077DB2">
        <w:rPr>
          <w:rFonts w:eastAsia="Times New Roman"/>
          <w:i/>
          <w:iCs/>
        </w:rPr>
        <w:t>Maldonado</w:t>
      </w:r>
      <w:bookmarkEnd w:id="0"/>
      <w:r w:rsidR="00AA4625" w:rsidRPr="00077DB2">
        <w:rPr>
          <w:rFonts w:eastAsia="Times New Roman"/>
        </w:rPr>
        <w:t xml:space="preserve"> </w:t>
      </w:r>
      <w:r w:rsidR="001238A5" w:rsidRPr="00077DB2">
        <w:rPr>
          <w:rFonts w:eastAsia="Times New Roman"/>
        </w:rPr>
        <w:t>(</w:t>
      </w:r>
      <w:r w:rsidR="00AA4625" w:rsidRPr="00077DB2">
        <w:rPr>
          <w:rFonts w:eastAsia="Times New Roman"/>
        </w:rPr>
        <w:t>97 NY2d 522</w:t>
      </w:r>
      <w:r w:rsidR="003118F2" w:rsidRPr="00077DB2">
        <w:rPr>
          <w:rFonts w:eastAsia="Times New Roman"/>
        </w:rPr>
        <w:t xml:space="preserve"> </w:t>
      </w:r>
      <w:r w:rsidR="00AA4625" w:rsidRPr="00077DB2">
        <w:rPr>
          <w:rFonts w:eastAsia="Times New Roman"/>
        </w:rPr>
        <w:t>[2002]</w:t>
      </w:r>
      <w:r w:rsidR="001238A5" w:rsidRPr="00077DB2">
        <w:rPr>
          <w:rFonts w:eastAsia="Times New Roman"/>
        </w:rPr>
        <w:t>)</w:t>
      </w:r>
      <w:r w:rsidR="00AA4625" w:rsidRPr="00077DB2">
        <w:rPr>
          <w:rFonts w:eastAsia="Times New Roman"/>
        </w:rPr>
        <w:t xml:space="preserve">; </w:t>
      </w:r>
      <w:r w:rsidR="00133ABC" w:rsidRPr="00077DB2">
        <w:rPr>
          <w:i/>
          <w:iCs/>
        </w:rPr>
        <w:t>People v Griffin</w:t>
      </w:r>
      <w:r w:rsidR="00133ABC" w:rsidRPr="00077DB2">
        <w:t xml:space="preserve"> </w:t>
      </w:r>
      <w:r w:rsidR="001238A5" w:rsidRPr="00077DB2">
        <w:t>(</w:t>
      </w:r>
      <w:r w:rsidR="00133ABC" w:rsidRPr="00077DB2">
        <w:t>29 NY2d 91</w:t>
      </w:r>
      <w:r w:rsidR="003118F2" w:rsidRPr="00077DB2">
        <w:t xml:space="preserve"> </w:t>
      </w:r>
      <w:r w:rsidR="00133ABC" w:rsidRPr="00077DB2">
        <w:t>[1971]</w:t>
      </w:r>
      <w:r w:rsidR="001238A5" w:rsidRPr="00077DB2">
        <w:t>)</w:t>
      </w:r>
      <w:r w:rsidR="00934D5C" w:rsidRPr="00077DB2">
        <w:t xml:space="preserve">; </w:t>
      </w:r>
      <w:r w:rsidR="00AA4625" w:rsidRPr="00077DB2">
        <w:t xml:space="preserve">and </w:t>
      </w:r>
      <w:r w:rsidR="00AA4625" w:rsidRPr="00077DB2">
        <w:rPr>
          <w:rFonts w:eastAsia="Times New Roman"/>
          <w:i/>
          <w:iCs/>
          <w:bdr w:val="none" w:sz="0" w:space="0" w:color="auto" w:frame="1"/>
        </w:rPr>
        <w:t>People v Coffey</w:t>
      </w:r>
      <w:r w:rsidR="00AA4625" w:rsidRPr="00077DB2">
        <w:rPr>
          <w:rFonts w:eastAsia="Times New Roman"/>
        </w:rPr>
        <w:t xml:space="preserve"> </w:t>
      </w:r>
      <w:r w:rsidR="001238A5" w:rsidRPr="00077DB2">
        <w:rPr>
          <w:rFonts w:eastAsia="Times New Roman"/>
        </w:rPr>
        <w:t>(</w:t>
      </w:r>
      <w:r w:rsidR="00AA4625" w:rsidRPr="00077DB2">
        <w:rPr>
          <w:rFonts w:eastAsia="Times New Roman"/>
        </w:rPr>
        <w:t>11 NY2d 142</w:t>
      </w:r>
      <w:r w:rsidR="003118F2" w:rsidRPr="00077DB2">
        <w:rPr>
          <w:rFonts w:eastAsia="Times New Roman"/>
        </w:rPr>
        <w:t xml:space="preserve"> </w:t>
      </w:r>
      <w:r w:rsidR="00AA4625" w:rsidRPr="00077DB2">
        <w:rPr>
          <w:rFonts w:eastAsia="Times New Roman"/>
        </w:rPr>
        <w:t>[1962]</w:t>
      </w:r>
      <w:r w:rsidR="001238A5" w:rsidRPr="00077DB2">
        <w:rPr>
          <w:rFonts w:eastAsia="Times New Roman"/>
        </w:rPr>
        <w:t>)</w:t>
      </w:r>
      <w:r w:rsidR="00AA4625" w:rsidRPr="00077DB2">
        <w:rPr>
          <w:rFonts w:eastAsia="Times New Roman"/>
        </w:rPr>
        <w:t>.</w:t>
      </w:r>
    </w:p>
    <w:p w14:paraId="78A51839" w14:textId="2BE11680" w:rsidR="00133ABC" w:rsidRPr="00077DB2" w:rsidRDefault="00133ABC" w:rsidP="00EB0740">
      <w:pPr>
        <w:shd w:val="clear" w:color="auto" w:fill="FFFFFF"/>
        <w:spacing w:before="0"/>
        <w:jc w:val="both"/>
      </w:pPr>
    </w:p>
    <w:p w14:paraId="1BF0D371" w14:textId="11014796" w:rsidR="006C3053" w:rsidRPr="00077DB2" w:rsidRDefault="00EB0740" w:rsidP="00EB0740">
      <w:pPr>
        <w:shd w:val="clear" w:color="auto" w:fill="FFFFFF"/>
        <w:tabs>
          <w:tab w:val="left" w:pos="720"/>
        </w:tabs>
        <w:spacing w:before="0"/>
        <w:jc w:val="both"/>
        <w:rPr>
          <w:rFonts w:eastAsia="Times New Roman"/>
        </w:rPr>
      </w:pPr>
      <w:r>
        <w:rPr>
          <w:rFonts w:eastAsia="Times New Roman"/>
          <w:b/>
          <w:bCs/>
        </w:rPr>
        <w:tab/>
      </w:r>
      <w:r w:rsidR="00133ABC" w:rsidRPr="00077DB2">
        <w:rPr>
          <w:rFonts w:eastAsia="Times New Roman"/>
          <w:b/>
          <w:bCs/>
        </w:rPr>
        <w:t>Subdivision (1)</w:t>
      </w:r>
      <w:r w:rsidR="00934D5C" w:rsidRPr="00077DB2">
        <w:rPr>
          <w:rFonts w:eastAsia="Times New Roman"/>
          <w:b/>
          <w:bCs/>
        </w:rPr>
        <w:t xml:space="preserve"> </w:t>
      </w:r>
      <w:r w:rsidR="00934D5C" w:rsidRPr="00077DB2">
        <w:rPr>
          <w:rFonts w:eastAsia="Times New Roman"/>
        </w:rPr>
        <w:t xml:space="preserve">sets forth the </w:t>
      </w:r>
      <w:r w:rsidR="003604A0" w:rsidRPr="00077DB2">
        <w:rPr>
          <w:rFonts w:eastAsia="Times New Roman"/>
        </w:rPr>
        <w:t xml:space="preserve">general </w:t>
      </w:r>
      <w:r w:rsidR="00A055AF" w:rsidRPr="00077DB2">
        <w:rPr>
          <w:rFonts w:eastAsia="Times New Roman"/>
        </w:rPr>
        <w:t xml:space="preserve">rule excluding evidence of a composite sketch </w:t>
      </w:r>
      <w:r w:rsidR="001F5FA7" w:rsidRPr="00077DB2">
        <w:rPr>
          <w:rFonts w:eastAsia="Times New Roman"/>
        </w:rPr>
        <w:t>as evidence of guilt</w:t>
      </w:r>
      <w:r w:rsidR="00E959DC" w:rsidRPr="00077DB2">
        <w:rPr>
          <w:rFonts w:eastAsia="Times New Roman"/>
        </w:rPr>
        <w:t xml:space="preserve">. </w:t>
      </w:r>
      <w:r w:rsidR="001F5FA7" w:rsidRPr="00077DB2">
        <w:rPr>
          <w:rFonts w:eastAsia="Times New Roman"/>
        </w:rPr>
        <w:t>As summariz</w:t>
      </w:r>
      <w:r w:rsidR="00A055AF" w:rsidRPr="00077DB2">
        <w:rPr>
          <w:rFonts w:eastAsia="Times New Roman"/>
        </w:rPr>
        <w:t xml:space="preserve">ed </w:t>
      </w:r>
      <w:r w:rsidR="004C4FDC" w:rsidRPr="00077DB2">
        <w:rPr>
          <w:rFonts w:eastAsia="Times New Roman"/>
        </w:rPr>
        <w:t>by</w:t>
      </w:r>
      <w:r w:rsidR="00A055AF" w:rsidRPr="00077DB2">
        <w:rPr>
          <w:rFonts w:eastAsia="Times New Roman"/>
        </w:rPr>
        <w:t xml:space="preserve"> </w:t>
      </w:r>
      <w:bookmarkStart w:id="1" w:name="_Hlk133597242"/>
      <w:r w:rsidR="001F5FA7" w:rsidRPr="00077DB2">
        <w:rPr>
          <w:rFonts w:eastAsia="Times New Roman"/>
          <w:i/>
          <w:iCs/>
        </w:rPr>
        <w:t>Maldonado</w:t>
      </w:r>
      <w:bookmarkEnd w:id="1"/>
      <w:r w:rsidR="00A055AF" w:rsidRPr="00077DB2">
        <w:rPr>
          <w:rFonts w:eastAsia="Times New Roman"/>
        </w:rPr>
        <w:t xml:space="preserve"> </w:t>
      </w:r>
      <w:r w:rsidR="001B5F79">
        <w:rPr>
          <w:rFonts w:eastAsia="Times New Roman"/>
        </w:rPr>
        <w:t>(</w:t>
      </w:r>
      <w:r w:rsidR="00A055AF" w:rsidRPr="00077DB2">
        <w:rPr>
          <w:rFonts w:eastAsia="Times New Roman"/>
        </w:rPr>
        <w:t>at 528</w:t>
      </w:r>
      <w:r w:rsidR="001408C8" w:rsidRPr="00077DB2">
        <w:rPr>
          <w:rFonts w:eastAsia="Times New Roman"/>
        </w:rPr>
        <w:t>-529</w:t>
      </w:r>
      <w:r w:rsidR="001B5F79">
        <w:rPr>
          <w:rFonts w:eastAsia="Times New Roman"/>
        </w:rPr>
        <w:t>)</w:t>
      </w:r>
      <w:r w:rsidR="001F5FA7" w:rsidRPr="00077DB2">
        <w:rPr>
          <w:rFonts w:eastAsia="Times New Roman"/>
        </w:rPr>
        <w:t>:</w:t>
      </w:r>
    </w:p>
    <w:p w14:paraId="22C4240A" w14:textId="77777777" w:rsidR="00D81F50" w:rsidRPr="00077DB2" w:rsidRDefault="00D81F50" w:rsidP="00077DB2">
      <w:pPr>
        <w:shd w:val="clear" w:color="auto" w:fill="FFFFFF"/>
        <w:spacing w:before="0"/>
        <w:jc w:val="both"/>
        <w:rPr>
          <w:rFonts w:eastAsia="Times New Roman"/>
        </w:rPr>
      </w:pPr>
    </w:p>
    <w:p w14:paraId="59A76B99" w14:textId="6F89CB6A" w:rsidR="002F2E2C" w:rsidRPr="00077DB2" w:rsidRDefault="0065460A" w:rsidP="00077DB2">
      <w:pPr>
        <w:shd w:val="clear" w:color="auto" w:fill="FFFFFF"/>
        <w:spacing w:before="0"/>
        <w:ind w:left="720" w:right="720"/>
        <w:jc w:val="both"/>
        <w:rPr>
          <w:rFonts w:eastAsia="Times New Roman"/>
        </w:rPr>
      </w:pPr>
      <w:r w:rsidRPr="00077DB2">
        <w:rPr>
          <w:rFonts w:eastAsia="Times New Roman"/>
        </w:rPr>
        <w:t>“</w:t>
      </w:r>
      <w:r w:rsidR="00D81F50" w:rsidRPr="00077DB2">
        <w:rPr>
          <w:rFonts w:eastAsia="Times New Roman"/>
        </w:rPr>
        <w:t>This Court has long considered composite sketches to be hearsay (</w:t>
      </w:r>
      <w:r w:rsidR="00D81F50" w:rsidRPr="00077DB2">
        <w:rPr>
          <w:rFonts w:eastAsia="Times New Roman"/>
          <w:i/>
          <w:iCs/>
        </w:rPr>
        <w:t>see People v Coffey</w:t>
      </w:r>
      <w:r w:rsidR="00D81F50" w:rsidRPr="00077DB2">
        <w:rPr>
          <w:rFonts w:eastAsia="Times New Roman"/>
        </w:rPr>
        <w:t>, 11 NY2d 142, 145 [1962]</w:t>
      </w:r>
      <w:r w:rsidR="005A0ABF">
        <w:rPr>
          <w:rFonts w:eastAsia="Times New Roman"/>
        </w:rPr>
        <w:t xml:space="preserve"> . . . </w:t>
      </w:r>
      <w:r w:rsidR="00123E46" w:rsidRPr="00077DB2">
        <w:rPr>
          <w:rFonts w:eastAsia="Times New Roman"/>
        </w:rPr>
        <w:t>),</w:t>
      </w:r>
      <w:r w:rsidR="001879CD" w:rsidRPr="00077DB2">
        <w:rPr>
          <w:rFonts w:eastAsia="Times New Roman"/>
        </w:rPr>
        <w:t xml:space="preserve"> </w:t>
      </w:r>
      <w:r w:rsidR="00D81F50" w:rsidRPr="00077DB2">
        <w:rPr>
          <w:rFonts w:eastAsia="Times New Roman"/>
        </w:rPr>
        <w:t>and thus generally inadmissible against defendants to prove guilt (</w:t>
      </w:r>
      <w:r w:rsidR="00D81F50" w:rsidRPr="00077DB2">
        <w:rPr>
          <w:rFonts w:eastAsia="Times New Roman"/>
          <w:i/>
          <w:iCs/>
        </w:rPr>
        <w:t>see e.g. Coffey</w:t>
      </w:r>
      <w:r w:rsidR="00D81F50" w:rsidRPr="00077DB2">
        <w:rPr>
          <w:rFonts w:eastAsia="Times New Roman"/>
        </w:rPr>
        <w:t xml:space="preserve"> at 145</w:t>
      </w:r>
      <w:r w:rsidR="00B91F22">
        <w:rPr>
          <w:rFonts w:eastAsia="Times New Roman"/>
        </w:rPr>
        <w:t xml:space="preserve"> . . . </w:t>
      </w:r>
      <w:r w:rsidR="00A4699E" w:rsidRPr="00077DB2">
        <w:rPr>
          <w:rFonts w:eastAsia="Times New Roman"/>
        </w:rPr>
        <w:t>)</w:t>
      </w:r>
      <w:r w:rsidR="00CF56BD">
        <w:rPr>
          <w:rFonts w:eastAsia="Times New Roman"/>
        </w:rPr>
        <w:t>.</w:t>
      </w:r>
      <w:r w:rsidR="00A4699E" w:rsidRPr="00077DB2">
        <w:rPr>
          <w:rFonts w:eastAsia="Times New Roman"/>
        </w:rPr>
        <w:t xml:space="preserve"> . . . </w:t>
      </w:r>
      <w:r w:rsidR="00D81F50" w:rsidRPr="00077DB2">
        <w:rPr>
          <w:rFonts w:eastAsia="Times New Roman"/>
        </w:rPr>
        <w:t xml:space="preserve">A composite sketch </w:t>
      </w:r>
      <w:r w:rsidR="00151D13" w:rsidRPr="00077DB2">
        <w:rPr>
          <w:rFonts w:eastAsia="Times New Roman"/>
        </w:rPr>
        <w:t>‘</w:t>
      </w:r>
      <w:r w:rsidR="00D81F50" w:rsidRPr="00077DB2">
        <w:rPr>
          <w:rFonts w:eastAsia="Times New Roman"/>
        </w:rPr>
        <w:t xml:space="preserve">may not be admitted simply to counteract evidence </w:t>
      </w:r>
      <w:r w:rsidR="00151D13" w:rsidRPr="00077DB2">
        <w:rPr>
          <w:rFonts w:eastAsia="Times New Roman"/>
        </w:rPr>
        <w:t>. . .</w:t>
      </w:r>
      <w:r w:rsidR="00D81F50" w:rsidRPr="00077DB2">
        <w:rPr>
          <w:rFonts w:eastAsia="Times New Roman"/>
        </w:rPr>
        <w:t xml:space="preserve"> which casts doubt on the reliability of [a] complainant</w:t>
      </w:r>
      <w:r w:rsidR="002E3CF5">
        <w:rPr>
          <w:rFonts w:eastAsia="Times New Roman"/>
        </w:rPr>
        <w:t>’</w:t>
      </w:r>
      <w:r w:rsidR="00D81F50" w:rsidRPr="00077DB2">
        <w:rPr>
          <w:rFonts w:eastAsia="Times New Roman"/>
        </w:rPr>
        <w:t>s identification</w:t>
      </w:r>
      <w:r w:rsidR="00151D13" w:rsidRPr="00077DB2">
        <w:rPr>
          <w:rFonts w:eastAsia="Times New Roman"/>
        </w:rPr>
        <w:t>’</w:t>
      </w:r>
      <w:r w:rsidR="00A86090">
        <w:rPr>
          <w:rFonts w:eastAsia="Times New Roman"/>
        </w:rPr>
        <w:t xml:space="preserve"> </w:t>
      </w:r>
      <w:r w:rsidR="007A5D31">
        <w:rPr>
          <w:rFonts w:eastAsia="Times New Roman"/>
        </w:rPr>
        <w:t>.</w:t>
      </w:r>
      <w:r w:rsidR="00C527B5">
        <w:rPr>
          <w:rFonts w:eastAsia="Times New Roman"/>
        </w:rPr>
        <w:t xml:space="preserve"> </w:t>
      </w:r>
      <w:r w:rsidR="00822DB6">
        <w:rPr>
          <w:rFonts w:eastAsia="Times New Roman"/>
        </w:rPr>
        <w:t>. . .</w:t>
      </w:r>
      <w:r w:rsidR="00C527B5">
        <w:rPr>
          <w:rFonts w:eastAsia="Times New Roman"/>
        </w:rPr>
        <w:t xml:space="preserve"> </w:t>
      </w:r>
      <w:r w:rsidR="00D81F50" w:rsidRPr="00077DB2">
        <w:rPr>
          <w:rFonts w:eastAsia="Times New Roman"/>
        </w:rPr>
        <w:t>When offered for that purpose, a composite sketch impermissibly bolsters the identifying witness</w:t>
      </w:r>
      <w:r w:rsidR="002E3CF5">
        <w:rPr>
          <w:rFonts w:eastAsia="Times New Roman"/>
        </w:rPr>
        <w:t>’</w:t>
      </w:r>
      <w:r w:rsidR="00D81F50" w:rsidRPr="00077DB2">
        <w:rPr>
          <w:rFonts w:eastAsia="Times New Roman"/>
        </w:rPr>
        <w:t>s testimony and is therefore inadmissible</w:t>
      </w:r>
      <w:r w:rsidR="00DA00AD" w:rsidRPr="00077DB2">
        <w:rPr>
          <w:rFonts w:eastAsia="Times New Roman"/>
        </w:rPr>
        <w:t>.</w:t>
      </w:r>
      <w:r w:rsidRPr="00077DB2">
        <w:rPr>
          <w:rFonts w:eastAsia="Times New Roman"/>
        </w:rPr>
        <w:t>”</w:t>
      </w:r>
    </w:p>
    <w:p w14:paraId="0E0D7925" w14:textId="77777777" w:rsidR="00C13011" w:rsidRPr="00077DB2" w:rsidRDefault="00C13011" w:rsidP="00EB0740">
      <w:pPr>
        <w:shd w:val="clear" w:color="auto" w:fill="FFFFFF"/>
        <w:spacing w:before="0"/>
        <w:ind w:right="720"/>
        <w:jc w:val="both"/>
        <w:rPr>
          <w:rFonts w:eastAsia="Times New Roman"/>
        </w:rPr>
      </w:pPr>
    </w:p>
    <w:p w14:paraId="37D41026" w14:textId="38C0A82E" w:rsidR="004C4FDC" w:rsidRPr="00077DB2" w:rsidRDefault="004C4FDC" w:rsidP="00077DB2">
      <w:pPr>
        <w:shd w:val="clear" w:color="auto" w:fill="FFFFFF"/>
        <w:spacing w:before="0"/>
        <w:jc w:val="both"/>
        <w:rPr>
          <w:rFonts w:eastAsia="Times New Roman"/>
        </w:rPr>
      </w:pPr>
      <w:r w:rsidRPr="00077DB2">
        <w:rPr>
          <w:rFonts w:eastAsia="Times New Roman"/>
        </w:rPr>
        <w:tab/>
      </w:r>
      <w:r w:rsidRPr="00077DB2">
        <w:rPr>
          <w:rFonts w:eastAsia="Times New Roman"/>
          <w:b/>
          <w:bCs/>
        </w:rPr>
        <w:t>Subdivision (2)</w:t>
      </w:r>
      <w:r w:rsidRPr="00077DB2">
        <w:rPr>
          <w:rFonts w:eastAsia="Times New Roman"/>
        </w:rPr>
        <w:t xml:space="preserve"> sets </w:t>
      </w:r>
      <w:r w:rsidR="008B2ED7" w:rsidRPr="00077DB2">
        <w:rPr>
          <w:rFonts w:eastAsia="Times New Roman"/>
        </w:rPr>
        <w:t>for</w:t>
      </w:r>
      <w:r w:rsidR="00FD4BC1" w:rsidRPr="00077DB2">
        <w:rPr>
          <w:rFonts w:eastAsia="Times New Roman"/>
        </w:rPr>
        <w:t>th examples of</w:t>
      </w:r>
      <w:r w:rsidR="008B2ED7" w:rsidRPr="00077DB2">
        <w:rPr>
          <w:rFonts w:eastAsia="Times New Roman"/>
        </w:rPr>
        <w:t xml:space="preserve"> purposes, other than proof of guilt, for which a composite sketch may be </w:t>
      </w:r>
      <w:r w:rsidR="003C4DAB" w:rsidRPr="00077DB2">
        <w:rPr>
          <w:rFonts w:eastAsia="Times New Roman"/>
        </w:rPr>
        <w:t>admissible.</w:t>
      </w:r>
    </w:p>
    <w:p w14:paraId="14E8DE57" w14:textId="77777777" w:rsidR="003C4DAB" w:rsidRPr="00077DB2" w:rsidRDefault="003C4DAB" w:rsidP="00077DB2">
      <w:pPr>
        <w:shd w:val="clear" w:color="auto" w:fill="FFFFFF"/>
        <w:spacing w:before="0"/>
        <w:jc w:val="both"/>
        <w:rPr>
          <w:rFonts w:eastAsia="Times New Roman"/>
        </w:rPr>
      </w:pPr>
    </w:p>
    <w:p w14:paraId="4013F8B4" w14:textId="35ED4A52" w:rsidR="003C4DAB" w:rsidRPr="00077DB2" w:rsidRDefault="003C4DAB" w:rsidP="00077DB2">
      <w:pPr>
        <w:shd w:val="clear" w:color="auto" w:fill="FFFFFF"/>
        <w:spacing w:before="0"/>
        <w:jc w:val="both"/>
        <w:rPr>
          <w:rFonts w:eastAsia="Times New Roman"/>
        </w:rPr>
      </w:pPr>
      <w:r w:rsidRPr="00077DB2">
        <w:rPr>
          <w:rFonts w:eastAsia="Times New Roman"/>
        </w:rPr>
        <w:lastRenderedPageBreak/>
        <w:tab/>
      </w:r>
      <w:r w:rsidRPr="00077DB2">
        <w:rPr>
          <w:rFonts w:eastAsia="Times New Roman"/>
          <w:b/>
          <w:bCs/>
        </w:rPr>
        <w:t>Subdivision (2)</w:t>
      </w:r>
      <w:r w:rsidR="00C13011" w:rsidRPr="00077DB2">
        <w:rPr>
          <w:rFonts w:eastAsia="Times New Roman"/>
          <w:b/>
          <w:bCs/>
        </w:rPr>
        <w:t xml:space="preserve"> </w:t>
      </w:r>
      <w:r w:rsidRPr="00077DB2">
        <w:rPr>
          <w:rFonts w:eastAsia="Times New Roman"/>
          <w:b/>
          <w:bCs/>
        </w:rPr>
        <w:t xml:space="preserve">(a) </w:t>
      </w:r>
      <w:r w:rsidR="00E21731" w:rsidRPr="00077DB2">
        <w:rPr>
          <w:rFonts w:eastAsia="Times New Roman"/>
        </w:rPr>
        <w:t>is derived from</w:t>
      </w:r>
      <w:r w:rsidR="00B56B44" w:rsidRPr="00077DB2">
        <w:rPr>
          <w:rFonts w:eastAsia="Times New Roman"/>
        </w:rPr>
        <w:t xml:space="preserve"> </w:t>
      </w:r>
      <w:bookmarkStart w:id="2" w:name="_Hlk133597373"/>
      <w:r w:rsidR="00B56B44" w:rsidRPr="00077DB2">
        <w:rPr>
          <w:rFonts w:eastAsia="Times New Roman"/>
          <w:i/>
          <w:iCs/>
        </w:rPr>
        <w:t>Maldonado</w:t>
      </w:r>
      <w:bookmarkEnd w:id="2"/>
      <w:r w:rsidR="00B56B44" w:rsidRPr="00077DB2">
        <w:rPr>
          <w:rFonts w:eastAsia="Times New Roman"/>
        </w:rPr>
        <w:t xml:space="preserve"> and </w:t>
      </w:r>
      <w:r w:rsidR="00B56B44" w:rsidRPr="00077DB2">
        <w:rPr>
          <w:rFonts w:eastAsia="Times New Roman"/>
          <w:i/>
          <w:iCs/>
        </w:rPr>
        <w:t>Coffey</w:t>
      </w:r>
      <w:r w:rsidR="00BB75C8" w:rsidRPr="00077DB2">
        <w:rPr>
          <w:rFonts w:eastAsia="Times New Roman"/>
          <w:i/>
          <w:iCs/>
        </w:rPr>
        <w:t xml:space="preserve">. </w:t>
      </w:r>
      <w:r w:rsidR="000818AC" w:rsidRPr="00077DB2">
        <w:rPr>
          <w:rFonts w:eastAsia="Times New Roman"/>
        </w:rPr>
        <w:t xml:space="preserve">In the words </w:t>
      </w:r>
      <w:r w:rsidR="00230BFC" w:rsidRPr="00077DB2">
        <w:rPr>
          <w:rFonts w:eastAsia="Times New Roman"/>
        </w:rPr>
        <w:t>of</w:t>
      </w:r>
      <w:r w:rsidR="00230BFC" w:rsidRPr="00077DB2">
        <w:rPr>
          <w:rFonts w:eastAsia="Times New Roman"/>
          <w:i/>
          <w:iCs/>
        </w:rPr>
        <w:t xml:space="preserve"> </w:t>
      </w:r>
      <w:r w:rsidR="000818AC" w:rsidRPr="00077DB2">
        <w:rPr>
          <w:rFonts w:eastAsia="Times New Roman"/>
          <w:i/>
          <w:iCs/>
        </w:rPr>
        <w:t>M</w:t>
      </w:r>
      <w:r w:rsidR="0017137A" w:rsidRPr="00077DB2">
        <w:rPr>
          <w:rFonts w:eastAsia="Times New Roman"/>
          <w:i/>
          <w:iCs/>
        </w:rPr>
        <w:t>a</w:t>
      </w:r>
      <w:r w:rsidR="000818AC" w:rsidRPr="00077DB2">
        <w:rPr>
          <w:rFonts w:eastAsia="Times New Roman"/>
          <w:i/>
          <w:iCs/>
        </w:rPr>
        <w:t>ldonad</w:t>
      </w:r>
      <w:r w:rsidR="0017137A" w:rsidRPr="00077DB2">
        <w:rPr>
          <w:rFonts w:eastAsia="Times New Roman"/>
          <w:i/>
          <w:iCs/>
        </w:rPr>
        <w:t>o</w:t>
      </w:r>
      <w:r w:rsidR="00B56B44" w:rsidRPr="00077DB2">
        <w:rPr>
          <w:rFonts w:eastAsia="Times New Roman"/>
        </w:rPr>
        <w:t>:</w:t>
      </w:r>
    </w:p>
    <w:p w14:paraId="2193B9D7" w14:textId="77777777" w:rsidR="002F2E2C" w:rsidRPr="00077DB2" w:rsidRDefault="002F2E2C" w:rsidP="00077DB2">
      <w:pPr>
        <w:shd w:val="clear" w:color="auto" w:fill="FFFFFF"/>
        <w:spacing w:before="0"/>
        <w:jc w:val="both"/>
        <w:rPr>
          <w:rFonts w:eastAsia="Times New Roman"/>
        </w:rPr>
      </w:pPr>
    </w:p>
    <w:p w14:paraId="1946C859" w14:textId="6B472E92" w:rsidR="00542B07" w:rsidRPr="00077DB2" w:rsidRDefault="00172D38" w:rsidP="00077DB2">
      <w:pPr>
        <w:shd w:val="clear" w:color="auto" w:fill="FFFFFF"/>
        <w:spacing w:before="0"/>
        <w:ind w:left="720" w:right="720"/>
        <w:jc w:val="both"/>
        <w:rPr>
          <w:rFonts w:eastAsia="Times New Roman"/>
        </w:rPr>
      </w:pPr>
      <w:r w:rsidRPr="00077DB2">
        <w:rPr>
          <w:rFonts w:eastAsia="Times New Roman"/>
        </w:rPr>
        <w:t>“[A]</w:t>
      </w:r>
      <w:r w:rsidR="00D81F50" w:rsidRPr="00077DB2">
        <w:rPr>
          <w:rFonts w:eastAsia="Times New Roman"/>
        </w:rPr>
        <w:t xml:space="preserve"> composite sketch may be admissible as a prior consistent statement where the testimony of an identifying witness is assailed as a recent fabrication (</w:t>
      </w:r>
      <w:r w:rsidR="00D81F50" w:rsidRPr="00077DB2">
        <w:rPr>
          <w:rFonts w:eastAsia="Times New Roman"/>
          <w:i/>
          <w:iCs/>
        </w:rPr>
        <w:t>see Coffey</w:t>
      </w:r>
      <w:r w:rsidR="00D81F50" w:rsidRPr="00077DB2">
        <w:rPr>
          <w:rFonts w:eastAsia="Times New Roman"/>
        </w:rPr>
        <w:t>, 11 NY2d at 145</w:t>
      </w:r>
      <w:r w:rsidR="0038252E" w:rsidRPr="00077DB2">
        <w:rPr>
          <w:rFonts w:eastAsia="Times New Roman"/>
        </w:rPr>
        <w:t>-</w:t>
      </w:r>
      <w:r w:rsidR="00D81F50" w:rsidRPr="00077DB2">
        <w:rPr>
          <w:rFonts w:eastAsia="Times New Roman"/>
        </w:rPr>
        <w:t xml:space="preserve">146). In those circumstances, a sketch may be employed to confirm the identification with </w:t>
      </w:r>
      <w:r w:rsidRPr="00077DB2">
        <w:rPr>
          <w:rFonts w:eastAsia="Times New Roman"/>
        </w:rPr>
        <w:t>‘</w:t>
      </w:r>
      <w:r w:rsidR="00D81F50" w:rsidRPr="00077DB2">
        <w:rPr>
          <w:rFonts w:eastAsia="Times New Roman"/>
        </w:rPr>
        <w:t>proof of declarations of the same tenor before the motive to falsify existed</w:t>
      </w:r>
      <w:r w:rsidR="00D20C13" w:rsidRPr="00077DB2">
        <w:rPr>
          <w:rFonts w:eastAsia="Times New Roman"/>
        </w:rPr>
        <w:t>.</w:t>
      </w:r>
      <w:r w:rsidRPr="00077DB2">
        <w:rPr>
          <w:rFonts w:eastAsia="Times New Roman"/>
        </w:rPr>
        <w:t>’</w:t>
      </w:r>
      <w:r w:rsidR="00D20C13" w:rsidRPr="00077DB2">
        <w:rPr>
          <w:rFonts w:eastAsia="Times New Roman"/>
        </w:rPr>
        <w:t xml:space="preserve"> </w:t>
      </w:r>
      <w:r w:rsidR="00542B07" w:rsidRPr="00077DB2">
        <w:rPr>
          <w:rFonts w:eastAsia="Times New Roman"/>
        </w:rPr>
        <w:t>”</w:t>
      </w:r>
      <w:r w:rsidR="00D20C13" w:rsidRPr="00077DB2">
        <w:rPr>
          <w:rFonts w:eastAsia="Times New Roman"/>
        </w:rPr>
        <w:t xml:space="preserve"> </w:t>
      </w:r>
      <w:r w:rsidR="003B6798" w:rsidRPr="00077DB2">
        <w:rPr>
          <w:rFonts w:eastAsia="Times New Roman"/>
        </w:rPr>
        <w:t>(</w:t>
      </w:r>
      <w:r w:rsidR="00542B07" w:rsidRPr="00077DB2">
        <w:rPr>
          <w:rFonts w:eastAsia="Times New Roman"/>
          <w:i/>
          <w:iCs/>
        </w:rPr>
        <w:t xml:space="preserve">Maldonado </w:t>
      </w:r>
      <w:r w:rsidR="00542B07" w:rsidRPr="00077DB2">
        <w:rPr>
          <w:rFonts w:eastAsia="Times New Roman"/>
        </w:rPr>
        <w:t>at 528</w:t>
      </w:r>
      <w:r w:rsidR="00D20C13" w:rsidRPr="00077DB2">
        <w:rPr>
          <w:rFonts w:eastAsia="Times New Roman"/>
        </w:rPr>
        <w:t>-529</w:t>
      </w:r>
      <w:r w:rsidR="00ED1A18" w:rsidRPr="00077DB2">
        <w:rPr>
          <w:rFonts w:eastAsia="Times New Roman"/>
        </w:rPr>
        <w:t xml:space="preserve">; </w:t>
      </w:r>
      <w:r w:rsidR="00D905C6" w:rsidRPr="00077DB2">
        <w:rPr>
          <w:rFonts w:eastAsia="Times New Roman"/>
          <w:i/>
          <w:iCs/>
        </w:rPr>
        <w:t>see</w:t>
      </w:r>
      <w:r w:rsidR="00D905C6" w:rsidRPr="00077DB2">
        <w:rPr>
          <w:rFonts w:eastAsia="Times New Roman"/>
          <w:i/>
          <w:iCs/>
          <w:bdr w:val="none" w:sz="0" w:space="0" w:color="auto" w:frame="1"/>
        </w:rPr>
        <w:t xml:space="preserve"> </w:t>
      </w:r>
      <w:r w:rsidR="00ED1A18" w:rsidRPr="00077DB2">
        <w:rPr>
          <w:rFonts w:eastAsia="Times New Roman"/>
          <w:i/>
          <w:iCs/>
          <w:bdr w:val="none" w:sz="0" w:space="0" w:color="auto" w:frame="1"/>
        </w:rPr>
        <w:t>People v Peterson</w:t>
      </w:r>
      <w:r w:rsidR="00ED1A18" w:rsidRPr="00077DB2">
        <w:rPr>
          <w:rFonts w:eastAsia="Times New Roman"/>
        </w:rPr>
        <w:t>, 25 AD2d 437 [2d Dept 1966]</w:t>
      </w:r>
      <w:r w:rsidR="00D20C13" w:rsidRPr="00077DB2">
        <w:rPr>
          <w:rFonts w:eastAsia="Times New Roman"/>
        </w:rPr>
        <w:t>;</w:t>
      </w:r>
      <w:r w:rsidR="00A61A79" w:rsidRPr="00077DB2">
        <w:rPr>
          <w:rFonts w:eastAsia="Times New Roman"/>
        </w:rPr>
        <w:t xml:space="preserve"> </w:t>
      </w:r>
      <w:bookmarkStart w:id="3" w:name="_Hlk133669856"/>
      <w:r w:rsidR="00A61A79" w:rsidRPr="00077DB2">
        <w:rPr>
          <w:rFonts w:eastAsia="Times New Roman"/>
        </w:rPr>
        <w:t>Guide to NY Evid</w:t>
      </w:r>
      <w:r w:rsidR="00D20C13" w:rsidRPr="00077DB2">
        <w:rPr>
          <w:rFonts w:eastAsia="Times New Roman"/>
        </w:rPr>
        <w:t xml:space="preserve"> </w:t>
      </w:r>
      <w:r w:rsidR="00A61A79" w:rsidRPr="00077DB2">
        <w:rPr>
          <w:rFonts w:eastAsia="Times New Roman"/>
        </w:rPr>
        <w:t xml:space="preserve">rule </w:t>
      </w:r>
      <w:r w:rsidR="000A440E" w:rsidRPr="00077DB2">
        <w:rPr>
          <w:rFonts w:eastAsia="Times New Roman"/>
        </w:rPr>
        <w:t>6.20</w:t>
      </w:r>
      <w:bookmarkEnd w:id="3"/>
      <w:r w:rsidR="00D20C13" w:rsidRPr="00077DB2">
        <w:rPr>
          <w:rFonts w:eastAsia="Times New Roman"/>
        </w:rPr>
        <w:t xml:space="preserve">, Impeachment by </w:t>
      </w:r>
      <w:r w:rsidR="000A440E" w:rsidRPr="00077DB2">
        <w:rPr>
          <w:rFonts w:eastAsia="Times New Roman"/>
        </w:rPr>
        <w:t>Recent Fabrication</w:t>
      </w:r>
      <w:r w:rsidR="00655622">
        <w:rPr>
          <w:rFonts w:eastAsia="Times New Roman"/>
        </w:rPr>
        <w:t xml:space="preserve">; </w:t>
      </w:r>
      <w:r w:rsidR="000A440E" w:rsidRPr="00077DB2">
        <w:rPr>
          <w:rFonts w:eastAsia="Times New Roman"/>
        </w:rPr>
        <w:t xml:space="preserve">rule </w:t>
      </w:r>
      <w:r w:rsidR="00152785" w:rsidRPr="00077DB2">
        <w:rPr>
          <w:rFonts w:eastAsia="Times New Roman"/>
        </w:rPr>
        <w:t>8.31</w:t>
      </w:r>
      <w:r w:rsidR="004A2198" w:rsidRPr="00077DB2">
        <w:rPr>
          <w:rFonts w:eastAsia="Times New Roman"/>
        </w:rPr>
        <w:t xml:space="preserve">, </w:t>
      </w:r>
      <w:r w:rsidR="00152785" w:rsidRPr="00077DB2">
        <w:rPr>
          <w:rFonts w:eastAsia="Times New Roman"/>
        </w:rPr>
        <w:t>Prior Consistent Statement</w:t>
      </w:r>
      <w:r w:rsidR="004A2198" w:rsidRPr="00077DB2">
        <w:rPr>
          <w:rFonts w:eastAsia="Times New Roman"/>
        </w:rPr>
        <w:t xml:space="preserve"> [rev June 2022].</w:t>
      </w:r>
      <w:r w:rsidR="003B6798" w:rsidRPr="00077DB2">
        <w:rPr>
          <w:rFonts w:eastAsia="Times New Roman"/>
        </w:rPr>
        <w:t>)</w:t>
      </w:r>
    </w:p>
    <w:p w14:paraId="226EACAB" w14:textId="77777777" w:rsidR="00542B07" w:rsidRPr="00077DB2" w:rsidRDefault="00542B07" w:rsidP="00077DB2">
      <w:pPr>
        <w:shd w:val="clear" w:color="auto" w:fill="FFFFFF"/>
        <w:spacing w:before="0"/>
        <w:jc w:val="both"/>
        <w:rPr>
          <w:rFonts w:eastAsia="Times New Roman"/>
        </w:rPr>
      </w:pPr>
    </w:p>
    <w:p w14:paraId="21464853" w14:textId="0C34465A" w:rsidR="007A03C6" w:rsidRPr="00077DB2" w:rsidRDefault="009F023E" w:rsidP="00077DB2">
      <w:pPr>
        <w:spacing w:before="0"/>
        <w:jc w:val="both"/>
      </w:pPr>
      <w:r w:rsidRPr="00077DB2">
        <w:tab/>
      </w:r>
      <w:r w:rsidRPr="00077DB2">
        <w:rPr>
          <w:b/>
          <w:bCs/>
        </w:rPr>
        <w:t>Subdivision (2)</w:t>
      </w:r>
      <w:r w:rsidR="00A271AB" w:rsidRPr="00077DB2">
        <w:rPr>
          <w:b/>
          <w:bCs/>
        </w:rPr>
        <w:t xml:space="preserve"> </w:t>
      </w:r>
      <w:r w:rsidRPr="00077DB2">
        <w:rPr>
          <w:b/>
          <w:bCs/>
        </w:rPr>
        <w:t>(</w:t>
      </w:r>
      <w:r w:rsidR="00927CA6" w:rsidRPr="00077DB2">
        <w:rPr>
          <w:b/>
          <w:bCs/>
        </w:rPr>
        <w:t>b</w:t>
      </w:r>
      <w:r w:rsidRPr="00077DB2">
        <w:rPr>
          <w:b/>
          <w:bCs/>
        </w:rPr>
        <w:t>)</w:t>
      </w:r>
      <w:r w:rsidR="00831EBB" w:rsidRPr="00077DB2">
        <w:t>,</w:t>
      </w:r>
      <w:r w:rsidR="0007404F" w:rsidRPr="00077DB2">
        <w:rPr>
          <w:b/>
          <w:bCs/>
        </w:rPr>
        <w:t xml:space="preserve"> </w:t>
      </w:r>
      <w:bookmarkStart w:id="4" w:name="_Hlk133598397"/>
      <w:r w:rsidR="00101628" w:rsidRPr="00077DB2">
        <w:t>p</w:t>
      </w:r>
      <w:r w:rsidR="00DC0E60" w:rsidRPr="00077DB2">
        <w:t>ursuant to</w:t>
      </w:r>
      <w:r w:rsidR="007A03C6" w:rsidRPr="00077DB2">
        <w:t xml:space="preserve"> </w:t>
      </w:r>
      <w:r w:rsidR="007A03C6" w:rsidRPr="00077DB2">
        <w:rPr>
          <w:i/>
          <w:iCs/>
        </w:rPr>
        <w:t>Griffin</w:t>
      </w:r>
      <w:bookmarkEnd w:id="4"/>
      <w:r w:rsidR="00DC0E60" w:rsidRPr="00077DB2">
        <w:t>, a</w:t>
      </w:r>
      <w:r w:rsidR="007A03C6" w:rsidRPr="00077DB2">
        <w:t xml:space="preserve">llows </w:t>
      </w:r>
      <w:r w:rsidR="00323460" w:rsidRPr="00077DB2">
        <w:t xml:space="preserve">for the </w:t>
      </w:r>
      <w:r w:rsidR="007A03C6" w:rsidRPr="00077DB2">
        <w:t xml:space="preserve">introduction of </w:t>
      </w:r>
      <w:r w:rsidR="00203EFD" w:rsidRPr="00077DB2">
        <w:t>“</w:t>
      </w:r>
      <w:r w:rsidR="007A03C6" w:rsidRPr="00077DB2">
        <w:t>a composite sketch on cross-examination to show inconsistencies between a courtroom identification and the prior description as recorded in the sketch.</w:t>
      </w:r>
      <w:r w:rsidR="002E3CF5">
        <w:t>”</w:t>
      </w:r>
      <w:r w:rsidR="002632BC" w:rsidRPr="00077DB2">
        <w:t xml:space="preserve"> </w:t>
      </w:r>
      <w:r w:rsidR="00E52E6E" w:rsidRPr="00077DB2">
        <w:t>(</w:t>
      </w:r>
      <w:r w:rsidR="002632BC" w:rsidRPr="00077DB2">
        <w:rPr>
          <w:i/>
          <w:iCs/>
        </w:rPr>
        <w:t>Griffin</w:t>
      </w:r>
      <w:r w:rsidR="002632BC" w:rsidRPr="00077DB2">
        <w:t xml:space="preserve"> at 93; </w:t>
      </w:r>
      <w:bookmarkStart w:id="5" w:name="_Hlk133598574"/>
      <w:r w:rsidR="00DC0E60" w:rsidRPr="00077DB2">
        <w:rPr>
          <w:i/>
          <w:iCs/>
        </w:rPr>
        <w:t>accord</w:t>
      </w:r>
      <w:r w:rsidR="00DC0E60" w:rsidRPr="00077DB2">
        <w:t xml:space="preserve"> </w:t>
      </w:r>
      <w:r w:rsidR="002632BC" w:rsidRPr="00077DB2">
        <w:rPr>
          <w:i/>
          <w:iCs/>
        </w:rPr>
        <w:t>Maldonado</w:t>
      </w:r>
      <w:r w:rsidR="002632BC" w:rsidRPr="00077DB2">
        <w:t xml:space="preserve"> at 52</w:t>
      </w:r>
      <w:r w:rsidR="00EE3A57" w:rsidRPr="00077DB2">
        <w:t>9</w:t>
      </w:r>
      <w:r w:rsidR="002632BC" w:rsidRPr="00077DB2">
        <w:t xml:space="preserve"> n 7</w:t>
      </w:r>
      <w:bookmarkEnd w:id="5"/>
      <w:r w:rsidR="00770585" w:rsidRPr="00077DB2">
        <w:t>;</w:t>
      </w:r>
      <w:r w:rsidR="00BB75C8" w:rsidRPr="00077DB2">
        <w:t xml:space="preserve"> </w:t>
      </w:r>
      <w:r w:rsidR="00770585" w:rsidRPr="00077DB2">
        <w:rPr>
          <w:rFonts w:eastAsia="Times New Roman"/>
          <w:i/>
          <w:iCs/>
        </w:rPr>
        <w:t>s</w:t>
      </w:r>
      <w:r w:rsidR="00E36E2A" w:rsidRPr="00077DB2">
        <w:rPr>
          <w:rFonts w:eastAsia="Times New Roman"/>
          <w:i/>
          <w:iCs/>
        </w:rPr>
        <w:t>ee</w:t>
      </w:r>
      <w:r w:rsidR="005E07A7" w:rsidRPr="00077DB2">
        <w:rPr>
          <w:rFonts w:eastAsia="Times New Roman"/>
        </w:rPr>
        <w:t xml:space="preserve"> </w:t>
      </w:r>
      <w:r w:rsidR="00E36E2A" w:rsidRPr="00077DB2">
        <w:rPr>
          <w:rFonts w:eastAsia="Times New Roman"/>
        </w:rPr>
        <w:t>Guide to NY Evid rule 6.</w:t>
      </w:r>
      <w:r w:rsidR="003C05D8" w:rsidRPr="00077DB2">
        <w:rPr>
          <w:rFonts w:eastAsia="Times New Roman"/>
        </w:rPr>
        <w:t>15</w:t>
      </w:r>
      <w:r w:rsidR="005B380F" w:rsidRPr="00077DB2">
        <w:rPr>
          <w:rFonts w:eastAsia="Times New Roman"/>
        </w:rPr>
        <w:t xml:space="preserve">, </w:t>
      </w:r>
      <w:r w:rsidR="005E07A7" w:rsidRPr="00077DB2">
        <w:rPr>
          <w:rFonts w:eastAsia="Times New Roman"/>
        </w:rPr>
        <w:t>Impeachment by Prior Inconsistent Statement</w:t>
      </w:r>
      <w:r w:rsidR="005B380F" w:rsidRPr="00077DB2">
        <w:rPr>
          <w:rFonts w:eastAsia="Times New Roman"/>
        </w:rPr>
        <w:t>.</w:t>
      </w:r>
      <w:r w:rsidR="00E52E6E" w:rsidRPr="00077DB2">
        <w:rPr>
          <w:rFonts w:eastAsia="Times New Roman"/>
        </w:rPr>
        <w:t>)</w:t>
      </w:r>
    </w:p>
    <w:p w14:paraId="6F8CC8E7" w14:textId="20515A77" w:rsidR="00AD48FC" w:rsidRPr="00077DB2" w:rsidRDefault="00AD48FC" w:rsidP="00077DB2">
      <w:pPr>
        <w:spacing w:before="0"/>
        <w:jc w:val="both"/>
        <w:rPr>
          <w:b/>
          <w:bCs/>
        </w:rPr>
      </w:pPr>
    </w:p>
    <w:p w14:paraId="534F688E" w14:textId="24AA2A59" w:rsidR="001E6E92" w:rsidRPr="00077DB2" w:rsidRDefault="00927CA6" w:rsidP="00077DB2">
      <w:pPr>
        <w:shd w:val="clear" w:color="auto" w:fill="FFFFFF"/>
        <w:spacing w:before="0"/>
        <w:jc w:val="both"/>
        <w:rPr>
          <w:rFonts w:eastAsia="Times New Roman"/>
        </w:rPr>
      </w:pPr>
      <w:bookmarkStart w:id="6" w:name="_Hlk133589839"/>
      <w:r w:rsidRPr="00077DB2">
        <w:rPr>
          <w:rFonts w:eastAsia="Times New Roman"/>
        </w:rPr>
        <w:tab/>
      </w:r>
      <w:r w:rsidRPr="00077DB2">
        <w:rPr>
          <w:rFonts w:eastAsia="Times New Roman"/>
          <w:b/>
          <w:bCs/>
        </w:rPr>
        <w:t>Subdivision (2)</w:t>
      </w:r>
      <w:r w:rsidR="00A271AB" w:rsidRPr="00077DB2">
        <w:rPr>
          <w:rFonts w:eastAsia="Times New Roman"/>
          <w:b/>
          <w:bCs/>
        </w:rPr>
        <w:t xml:space="preserve"> </w:t>
      </w:r>
      <w:r w:rsidRPr="00077DB2">
        <w:rPr>
          <w:rFonts w:eastAsia="Times New Roman"/>
          <w:b/>
          <w:bCs/>
        </w:rPr>
        <w:t>(c)</w:t>
      </w:r>
      <w:r w:rsidR="00494BD2" w:rsidRPr="00077DB2">
        <w:rPr>
          <w:rFonts w:eastAsia="Times New Roman"/>
          <w:b/>
          <w:bCs/>
        </w:rPr>
        <w:t xml:space="preserve"> </w:t>
      </w:r>
      <w:r w:rsidR="00494BD2" w:rsidRPr="00077DB2">
        <w:rPr>
          <w:rFonts w:eastAsia="Times New Roman"/>
        </w:rPr>
        <w:t>is derived from</w:t>
      </w:r>
      <w:r w:rsidR="00D93C79" w:rsidRPr="00077DB2">
        <w:t xml:space="preserve"> </w:t>
      </w:r>
      <w:r w:rsidR="00700EE0" w:rsidRPr="00077DB2">
        <w:rPr>
          <w:i/>
          <w:iCs/>
        </w:rPr>
        <w:t>Griffin</w:t>
      </w:r>
      <w:r w:rsidR="005B3A5D" w:rsidRPr="00077DB2">
        <w:t>’s</w:t>
      </w:r>
      <w:r w:rsidR="005B3A5D" w:rsidRPr="00077DB2">
        <w:rPr>
          <w:i/>
          <w:iCs/>
        </w:rPr>
        <w:t xml:space="preserve"> </w:t>
      </w:r>
      <w:r w:rsidR="008012F8" w:rsidRPr="00077DB2">
        <w:t>declaration</w:t>
      </w:r>
      <w:r w:rsidR="007E1A9C" w:rsidRPr="00077DB2">
        <w:t xml:space="preserve"> that</w:t>
      </w:r>
      <w:r w:rsidR="00700EE0" w:rsidRPr="00077DB2">
        <w:t xml:space="preserve"> </w:t>
      </w:r>
      <w:r w:rsidR="005A4B06" w:rsidRPr="00077DB2">
        <w:t xml:space="preserve">aside from proof of guilt, </w:t>
      </w:r>
      <w:r w:rsidR="009D26B7" w:rsidRPr="00077DB2">
        <w:t>there are</w:t>
      </w:r>
      <w:r w:rsidR="00C07A8B" w:rsidRPr="00077DB2">
        <w:rPr>
          <w:i/>
          <w:iCs/>
        </w:rPr>
        <w:t xml:space="preserve"> </w:t>
      </w:r>
      <w:r w:rsidR="002E3CF5">
        <w:t>“</w:t>
      </w:r>
      <w:r w:rsidR="00A87F68" w:rsidRPr="00077DB2">
        <w:t>other uses of a composite sketch</w:t>
      </w:r>
      <w:r w:rsidR="006129D4" w:rsidRPr="00077DB2">
        <w:t>” that “</w:t>
      </w:r>
      <w:r w:rsidR="00A87F68" w:rsidRPr="00077DB2">
        <w:t>are not proscribed</w:t>
      </w:r>
      <w:r w:rsidR="00553862" w:rsidRPr="00077DB2">
        <w:t xml:space="preserve"> </w:t>
      </w:r>
      <w:r w:rsidR="00357355" w:rsidRPr="00077DB2">
        <w:t>. . .</w:t>
      </w:r>
      <w:r w:rsidR="00A87F68" w:rsidRPr="00077DB2">
        <w:t xml:space="preserve"> </w:t>
      </w:r>
      <w:r w:rsidR="003E6350">
        <w:t xml:space="preserve">. </w:t>
      </w:r>
      <w:r w:rsidR="00A87F68" w:rsidRPr="00077DB2">
        <w:t xml:space="preserve">For example, such a sketch might prove invaluable in a suppression hearing where the issue is probable cause for arrest or reasonable suspicion for a </w:t>
      </w:r>
      <w:r w:rsidR="00357355" w:rsidRPr="00077DB2">
        <w:t>‘</w:t>
      </w:r>
      <w:r w:rsidR="00A87F68" w:rsidRPr="00077DB2">
        <w:t>stop</w:t>
      </w:r>
      <w:r w:rsidR="00553862" w:rsidRPr="00077DB2">
        <w:t>.</w:t>
      </w:r>
      <w:r w:rsidR="00357355" w:rsidRPr="00077DB2">
        <w:t>’</w:t>
      </w:r>
      <w:r w:rsidR="00E959DC" w:rsidRPr="00077DB2">
        <w:t xml:space="preserve"> </w:t>
      </w:r>
      <w:r w:rsidR="00A87F68" w:rsidRPr="00077DB2">
        <w:t>In such instances the reasonable basis, including the sketch, for the police action is critical.”</w:t>
      </w:r>
      <w:r w:rsidR="004509F8" w:rsidRPr="00077DB2">
        <w:t xml:space="preserve"> </w:t>
      </w:r>
      <w:bookmarkEnd w:id="6"/>
      <w:r w:rsidR="00817250" w:rsidRPr="00077DB2">
        <w:t>(</w:t>
      </w:r>
      <w:r w:rsidR="00095F18" w:rsidRPr="00077DB2">
        <w:rPr>
          <w:i/>
          <w:iCs/>
        </w:rPr>
        <w:t>People v Griffin</w:t>
      </w:r>
      <w:r w:rsidR="00353F95" w:rsidRPr="00077DB2">
        <w:t xml:space="preserve"> at</w:t>
      </w:r>
      <w:r w:rsidR="00095F18" w:rsidRPr="00077DB2">
        <w:t xml:space="preserve"> 93</w:t>
      </w:r>
      <w:r w:rsidR="00902068" w:rsidRPr="00077DB2">
        <w:t xml:space="preserve">; </w:t>
      </w:r>
      <w:r w:rsidR="004203BD" w:rsidRPr="00077DB2">
        <w:rPr>
          <w:i/>
          <w:iCs/>
        </w:rPr>
        <w:t>accord</w:t>
      </w:r>
      <w:r w:rsidR="004203BD" w:rsidRPr="00077DB2">
        <w:t xml:space="preserve"> </w:t>
      </w:r>
      <w:r w:rsidR="00902068" w:rsidRPr="00077DB2">
        <w:rPr>
          <w:i/>
          <w:iCs/>
        </w:rPr>
        <w:t>Maldonado</w:t>
      </w:r>
      <w:r w:rsidR="00902068" w:rsidRPr="00077DB2">
        <w:t xml:space="preserve"> at 52</w:t>
      </w:r>
      <w:r w:rsidR="00EE3A57" w:rsidRPr="00077DB2">
        <w:t>9</w:t>
      </w:r>
      <w:r w:rsidR="00902068" w:rsidRPr="00077DB2">
        <w:t xml:space="preserve"> n 7</w:t>
      </w:r>
      <w:r w:rsidR="00E05023" w:rsidRPr="00077DB2">
        <w:t>;</w:t>
      </w:r>
      <w:r w:rsidR="00E959DC" w:rsidRPr="00077DB2">
        <w:t xml:space="preserve"> </w:t>
      </w:r>
      <w:r w:rsidR="0004295C">
        <w:rPr>
          <w:i/>
          <w:iCs/>
        </w:rPr>
        <w:t>see</w:t>
      </w:r>
      <w:r w:rsidR="00FB61FB" w:rsidRPr="00077DB2">
        <w:t xml:space="preserve"> </w:t>
      </w:r>
      <w:r w:rsidR="003675F9" w:rsidRPr="00077DB2">
        <w:rPr>
          <w:rFonts w:eastAsia="Times New Roman"/>
          <w:i/>
          <w:iCs/>
          <w:bdr w:val="none" w:sz="0" w:space="0" w:color="auto" w:frame="1"/>
        </w:rPr>
        <w:t>People v Rodriguez</w:t>
      </w:r>
      <w:r w:rsidR="003675F9" w:rsidRPr="00077DB2">
        <w:rPr>
          <w:rFonts w:eastAsia="Times New Roman"/>
        </w:rPr>
        <w:t>, 49 AD3d 433, 434 [1st Dept 2008]</w:t>
      </w:r>
      <w:r w:rsidR="00817250" w:rsidRPr="00077DB2">
        <w:rPr>
          <w:rFonts w:eastAsia="Times New Roman"/>
        </w:rPr>
        <w:t xml:space="preserve"> </w:t>
      </w:r>
      <w:r w:rsidR="00FB61FB" w:rsidRPr="00077DB2">
        <w:rPr>
          <w:rFonts w:eastAsia="Times New Roman"/>
        </w:rPr>
        <w:t>[</w:t>
      </w:r>
      <w:r w:rsidR="002E3CF5">
        <w:rPr>
          <w:rFonts w:eastAsia="Times New Roman"/>
        </w:rPr>
        <w:t>“</w:t>
      </w:r>
      <w:r w:rsidR="003675F9" w:rsidRPr="00077DB2">
        <w:rPr>
          <w:rFonts w:eastAsia="Times New Roman"/>
        </w:rPr>
        <w:t>There is no indication that the sketch was created on the basis of anything other than information supplied by the victim, or any reason to believe the process of creating a sketch impaired the fairness of the subsequent lineup</w:t>
      </w:r>
      <w:r w:rsidR="002E3CF5">
        <w:rPr>
          <w:rFonts w:eastAsia="Times New Roman"/>
        </w:rPr>
        <w:t>”</w:t>
      </w:r>
      <w:r w:rsidR="00FB61FB" w:rsidRPr="00077DB2">
        <w:rPr>
          <w:rFonts w:eastAsia="Times New Roman"/>
        </w:rPr>
        <w:t>]</w:t>
      </w:r>
      <w:r w:rsidR="00E05023" w:rsidRPr="00077DB2">
        <w:rPr>
          <w:rFonts w:eastAsia="Times New Roman"/>
        </w:rPr>
        <w:t>.</w:t>
      </w:r>
      <w:r w:rsidR="00817250" w:rsidRPr="00077DB2">
        <w:rPr>
          <w:rFonts w:eastAsia="Times New Roman"/>
        </w:rPr>
        <w:t>)</w:t>
      </w:r>
    </w:p>
    <w:sectPr w:rsidR="001E6E92" w:rsidRPr="00077DB2" w:rsidSect="00077DB2">
      <w:footerReference w:type="default" r:id="rId7"/>
      <w:pgSz w:w="12240" w:h="15840" w:code="1"/>
      <w:pgMar w:top="1440" w:right="2160" w:bottom="1440" w:left="216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76F7A" w14:textId="77777777" w:rsidR="00B57C72" w:rsidRDefault="00B57C72" w:rsidP="00041E0C">
      <w:pPr>
        <w:spacing w:before="0"/>
      </w:pPr>
      <w:r>
        <w:separator/>
      </w:r>
    </w:p>
  </w:endnote>
  <w:endnote w:type="continuationSeparator" w:id="0">
    <w:p w14:paraId="4E48D1BF" w14:textId="77777777" w:rsidR="00B57C72" w:rsidRDefault="00B57C72" w:rsidP="00041E0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7898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D177E8" w14:textId="64C35D5D" w:rsidR="00077DB2" w:rsidRDefault="00077D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61B48" w14:textId="77777777" w:rsidR="00B57C72" w:rsidRDefault="00B57C72" w:rsidP="00041E0C">
      <w:pPr>
        <w:spacing w:before="0"/>
      </w:pPr>
      <w:r>
        <w:separator/>
      </w:r>
    </w:p>
  </w:footnote>
  <w:footnote w:type="continuationSeparator" w:id="0">
    <w:p w14:paraId="7FC3A639" w14:textId="77777777" w:rsidR="00B57C72" w:rsidRDefault="00B57C72" w:rsidP="00041E0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E38E6"/>
    <w:multiLevelType w:val="multilevel"/>
    <w:tmpl w:val="0602D5AA"/>
    <w:lvl w:ilvl="0">
      <w:start w:val="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A414477"/>
    <w:multiLevelType w:val="hybridMultilevel"/>
    <w:tmpl w:val="C4881A26"/>
    <w:lvl w:ilvl="0" w:tplc="1CB0D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0F1913"/>
    <w:multiLevelType w:val="hybridMultilevel"/>
    <w:tmpl w:val="AE70990A"/>
    <w:lvl w:ilvl="0" w:tplc="C6DEDA34">
      <w:start w:val="1"/>
      <w:numFmt w:val="lowerLetter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 w16cid:durableId="71895981">
    <w:abstractNumId w:val="1"/>
  </w:num>
  <w:num w:numId="2" w16cid:durableId="1384865553">
    <w:abstractNumId w:val="2"/>
  </w:num>
  <w:num w:numId="3" w16cid:durableId="1246644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F50"/>
    <w:rsid w:val="00001F12"/>
    <w:rsid w:val="00014BA2"/>
    <w:rsid w:val="00016B38"/>
    <w:rsid w:val="00041E0C"/>
    <w:rsid w:val="0004295C"/>
    <w:rsid w:val="0007404F"/>
    <w:rsid w:val="00077DB2"/>
    <w:rsid w:val="000818AC"/>
    <w:rsid w:val="00095F18"/>
    <w:rsid w:val="000A440E"/>
    <w:rsid w:val="000E1BC5"/>
    <w:rsid w:val="000E24CC"/>
    <w:rsid w:val="000E4502"/>
    <w:rsid w:val="00101628"/>
    <w:rsid w:val="00107997"/>
    <w:rsid w:val="001238A5"/>
    <w:rsid w:val="00123E46"/>
    <w:rsid w:val="00127D8A"/>
    <w:rsid w:val="00133631"/>
    <w:rsid w:val="00133ABC"/>
    <w:rsid w:val="0013621F"/>
    <w:rsid w:val="001408C8"/>
    <w:rsid w:val="00151D13"/>
    <w:rsid w:val="00152785"/>
    <w:rsid w:val="00157BF5"/>
    <w:rsid w:val="00160A95"/>
    <w:rsid w:val="0017137A"/>
    <w:rsid w:val="00172D38"/>
    <w:rsid w:val="001879CD"/>
    <w:rsid w:val="001B5F79"/>
    <w:rsid w:val="001D1627"/>
    <w:rsid w:val="001E6E92"/>
    <w:rsid w:val="001F5FA7"/>
    <w:rsid w:val="00203EFD"/>
    <w:rsid w:val="00210D6E"/>
    <w:rsid w:val="0022525A"/>
    <w:rsid w:val="00230BFC"/>
    <w:rsid w:val="00254815"/>
    <w:rsid w:val="002632BC"/>
    <w:rsid w:val="00271926"/>
    <w:rsid w:val="00296964"/>
    <w:rsid w:val="00296E1B"/>
    <w:rsid w:val="002A308A"/>
    <w:rsid w:val="002C7AE7"/>
    <w:rsid w:val="002E3CF5"/>
    <w:rsid w:val="002E5701"/>
    <w:rsid w:val="002F2E2C"/>
    <w:rsid w:val="0030061B"/>
    <w:rsid w:val="003035A9"/>
    <w:rsid w:val="00304F9A"/>
    <w:rsid w:val="003118F2"/>
    <w:rsid w:val="00320B4E"/>
    <w:rsid w:val="00323460"/>
    <w:rsid w:val="00324A3A"/>
    <w:rsid w:val="003316E7"/>
    <w:rsid w:val="00335E9B"/>
    <w:rsid w:val="00343989"/>
    <w:rsid w:val="00353F95"/>
    <w:rsid w:val="00357355"/>
    <w:rsid w:val="003604A0"/>
    <w:rsid w:val="003675F9"/>
    <w:rsid w:val="0038252E"/>
    <w:rsid w:val="003833DD"/>
    <w:rsid w:val="00392625"/>
    <w:rsid w:val="00396455"/>
    <w:rsid w:val="003B2E18"/>
    <w:rsid w:val="003B6798"/>
    <w:rsid w:val="003C05D8"/>
    <w:rsid w:val="003C4DAB"/>
    <w:rsid w:val="003D7BA6"/>
    <w:rsid w:val="003E6350"/>
    <w:rsid w:val="00417CDA"/>
    <w:rsid w:val="004203BD"/>
    <w:rsid w:val="00434DCC"/>
    <w:rsid w:val="004474C0"/>
    <w:rsid w:val="004509F8"/>
    <w:rsid w:val="00455119"/>
    <w:rsid w:val="00494BD2"/>
    <w:rsid w:val="004A2198"/>
    <w:rsid w:val="004A7404"/>
    <w:rsid w:val="004B3BEB"/>
    <w:rsid w:val="004B5753"/>
    <w:rsid w:val="004C4FDC"/>
    <w:rsid w:val="004D57CE"/>
    <w:rsid w:val="004F1CC3"/>
    <w:rsid w:val="00525A5A"/>
    <w:rsid w:val="00542B07"/>
    <w:rsid w:val="00545FE0"/>
    <w:rsid w:val="00553862"/>
    <w:rsid w:val="005833D3"/>
    <w:rsid w:val="005A0ABF"/>
    <w:rsid w:val="005A4B06"/>
    <w:rsid w:val="005B380F"/>
    <w:rsid w:val="005B3A5D"/>
    <w:rsid w:val="005B4F0C"/>
    <w:rsid w:val="005C2D85"/>
    <w:rsid w:val="005C72ED"/>
    <w:rsid w:val="005D7EB6"/>
    <w:rsid w:val="005E07A7"/>
    <w:rsid w:val="006129D4"/>
    <w:rsid w:val="00614605"/>
    <w:rsid w:val="0064449E"/>
    <w:rsid w:val="00652F5B"/>
    <w:rsid w:val="0065460A"/>
    <w:rsid w:val="00655622"/>
    <w:rsid w:val="006712AC"/>
    <w:rsid w:val="006B7884"/>
    <w:rsid w:val="006C1F21"/>
    <w:rsid w:val="006C3053"/>
    <w:rsid w:val="006C54AB"/>
    <w:rsid w:val="006D3D1C"/>
    <w:rsid w:val="006D745A"/>
    <w:rsid w:val="006F6B73"/>
    <w:rsid w:val="00700EE0"/>
    <w:rsid w:val="00710408"/>
    <w:rsid w:val="00712EC0"/>
    <w:rsid w:val="00713966"/>
    <w:rsid w:val="00726592"/>
    <w:rsid w:val="007436D4"/>
    <w:rsid w:val="00743920"/>
    <w:rsid w:val="007463B3"/>
    <w:rsid w:val="00766795"/>
    <w:rsid w:val="00770585"/>
    <w:rsid w:val="00780217"/>
    <w:rsid w:val="007A03C6"/>
    <w:rsid w:val="007A5586"/>
    <w:rsid w:val="007A5D31"/>
    <w:rsid w:val="007B1C59"/>
    <w:rsid w:val="007B25DD"/>
    <w:rsid w:val="007E1A9C"/>
    <w:rsid w:val="007F30D0"/>
    <w:rsid w:val="008012F8"/>
    <w:rsid w:val="008013F7"/>
    <w:rsid w:val="00817250"/>
    <w:rsid w:val="00820245"/>
    <w:rsid w:val="00822DB6"/>
    <w:rsid w:val="008246DB"/>
    <w:rsid w:val="00831EBB"/>
    <w:rsid w:val="00857D5B"/>
    <w:rsid w:val="0088446C"/>
    <w:rsid w:val="008B2ED7"/>
    <w:rsid w:val="008D21B4"/>
    <w:rsid w:val="008F4156"/>
    <w:rsid w:val="00902068"/>
    <w:rsid w:val="009114D6"/>
    <w:rsid w:val="009117E4"/>
    <w:rsid w:val="00917543"/>
    <w:rsid w:val="0092265D"/>
    <w:rsid w:val="00927CA6"/>
    <w:rsid w:val="00932F43"/>
    <w:rsid w:val="00934D5C"/>
    <w:rsid w:val="00991720"/>
    <w:rsid w:val="009B0F82"/>
    <w:rsid w:val="009C1C1A"/>
    <w:rsid w:val="009D26B7"/>
    <w:rsid w:val="009E4B38"/>
    <w:rsid w:val="009E6219"/>
    <w:rsid w:val="009F023E"/>
    <w:rsid w:val="009F46F7"/>
    <w:rsid w:val="00A055AF"/>
    <w:rsid w:val="00A12225"/>
    <w:rsid w:val="00A271AB"/>
    <w:rsid w:val="00A33419"/>
    <w:rsid w:val="00A35935"/>
    <w:rsid w:val="00A4177E"/>
    <w:rsid w:val="00A4232C"/>
    <w:rsid w:val="00A42E20"/>
    <w:rsid w:val="00A4699E"/>
    <w:rsid w:val="00A469F2"/>
    <w:rsid w:val="00A533D3"/>
    <w:rsid w:val="00A53549"/>
    <w:rsid w:val="00A53D4D"/>
    <w:rsid w:val="00A61A79"/>
    <w:rsid w:val="00A649A0"/>
    <w:rsid w:val="00A86090"/>
    <w:rsid w:val="00A87F68"/>
    <w:rsid w:val="00AA4625"/>
    <w:rsid w:val="00AD48FC"/>
    <w:rsid w:val="00B45982"/>
    <w:rsid w:val="00B5114D"/>
    <w:rsid w:val="00B52616"/>
    <w:rsid w:val="00B532A2"/>
    <w:rsid w:val="00B54413"/>
    <w:rsid w:val="00B56B44"/>
    <w:rsid w:val="00B57C72"/>
    <w:rsid w:val="00B659DA"/>
    <w:rsid w:val="00B91F22"/>
    <w:rsid w:val="00BB75C8"/>
    <w:rsid w:val="00BC2CF0"/>
    <w:rsid w:val="00C05863"/>
    <w:rsid w:val="00C07A8B"/>
    <w:rsid w:val="00C13011"/>
    <w:rsid w:val="00C1558B"/>
    <w:rsid w:val="00C17725"/>
    <w:rsid w:val="00C23AC5"/>
    <w:rsid w:val="00C476D3"/>
    <w:rsid w:val="00C527B5"/>
    <w:rsid w:val="00C71A40"/>
    <w:rsid w:val="00CB5636"/>
    <w:rsid w:val="00CC45B8"/>
    <w:rsid w:val="00CD6B3B"/>
    <w:rsid w:val="00CF56BD"/>
    <w:rsid w:val="00D01D78"/>
    <w:rsid w:val="00D074B8"/>
    <w:rsid w:val="00D10058"/>
    <w:rsid w:val="00D20C13"/>
    <w:rsid w:val="00D24F2E"/>
    <w:rsid w:val="00D61C8F"/>
    <w:rsid w:val="00D74C07"/>
    <w:rsid w:val="00D75E94"/>
    <w:rsid w:val="00D762C4"/>
    <w:rsid w:val="00D81F50"/>
    <w:rsid w:val="00D905C6"/>
    <w:rsid w:val="00D93C79"/>
    <w:rsid w:val="00DA00AD"/>
    <w:rsid w:val="00DC0E60"/>
    <w:rsid w:val="00DD3BAD"/>
    <w:rsid w:val="00DE1364"/>
    <w:rsid w:val="00E05023"/>
    <w:rsid w:val="00E14619"/>
    <w:rsid w:val="00E21731"/>
    <w:rsid w:val="00E31DAF"/>
    <w:rsid w:val="00E3317C"/>
    <w:rsid w:val="00E36E2A"/>
    <w:rsid w:val="00E52E6E"/>
    <w:rsid w:val="00E537B8"/>
    <w:rsid w:val="00E67416"/>
    <w:rsid w:val="00E702E9"/>
    <w:rsid w:val="00E771F6"/>
    <w:rsid w:val="00E91B3F"/>
    <w:rsid w:val="00E91CD8"/>
    <w:rsid w:val="00E94CC9"/>
    <w:rsid w:val="00E959DC"/>
    <w:rsid w:val="00E97575"/>
    <w:rsid w:val="00EB0740"/>
    <w:rsid w:val="00EC166F"/>
    <w:rsid w:val="00EC3F36"/>
    <w:rsid w:val="00ED1A18"/>
    <w:rsid w:val="00EE101F"/>
    <w:rsid w:val="00EE3A57"/>
    <w:rsid w:val="00EF4381"/>
    <w:rsid w:val="00F20196"/>
    <w:rsid w:val="00F32161"/>
    <w:rsid w:val="00F56AF0"/>
    <w:rsid w:val="00F570F9"/>
    <w:rsid w:val="00F82666"/>
    <w:rsid w:val="00FB61FB"/>
    <w:rsid w:val="00FD4BC1"/>
    <w:rsid w:val="00FE0679"/>
    <w:rsid w:val="00FE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FC4D3"/>
  <w15:chartTrackingRefBased/>
  <w15:docId w15:val="{0A2E9617-A3E5-4606-8A33-8DAEFDC2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before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F5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uiPriority w:val="99"/>
    <w:rsid w:val="006F6B73"/>
  </w:style>
  <w:style w:type="paragraph" w:styleId="Index1">
    <w:name w:val="index 1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Index2">
    <w:name w:val="index 2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/>
    </w:pPr>
    <w:rPr>
      <w:rFonts w:eastAsia="Times New Roman"/>
    </w:rPr>
  </w:style>
  <w:style w:type="paragraph" w:styleId="TOC1">
    <w:name w:val="toc 1"/>
    <w:basedOn w:val="NoSpacing"/>
    <w:next w:val="NoSpacing"/>
    <w:autoRedefine/>
    <w:uiPriority w:val="39"/>
    <w:qFormat/>
    <w:rsid w:val="00107997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before="480" w:line="240" w:lineRule="atLeast"/>
      <w:ind w:left="720" w:right="720" w:hanging="720"/>
    </w:pPr>
    <w:rPr>
      <w:rFonts w:eastAsia="Times New Roman" w:cs="Courier New"/>
      <w:szCs w:val="20"/>
    </w:rPr>
  </w:style>
  <w:style w:type="paragraph" w:styleId="TOC2">
    <w:name w:val="toc 2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3">
    <w:name w:val="toc 3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4">
    <w:name w:val="toc 4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5">
    <w:name w:val="toc 5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6">
    <w:name w:val="toc 6"/>
    <w:basedOn w:val="Normal"/>
    <w:next w:val="Normal"/>
    <w:uiPriority w:val="99"/>
    <w:rsid w:val="006F6B73"/>
    <w:pPr>
      <w:tabs>
        <w:tab w:val="righ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TOC7">
    <w:name w:val="toc 7"/>
    <w:basedOn w:val="Normal"/>
    <w:next w:val="Normal"/>
    <w:uiPriority w:val="99"/>
    <w:rsid w:val="006F6B73"/>
    <w:pPr>
      <w:suppressAutoHyphens/>
      <w:spacing w:line="240" w:lineRule="atLeast"/>
      <w:ind w:left="720" w:hanging="720"/>
    </w:pPr>
    <w:rPr>
      <w:rFonts w:eastAsia="Times New Roman"/>
    </w:rPr>
  </w:style>
  <w:style w:type="paragraph" w:styleId="TOC8">
    <w:name w:val="toc 8"/>
    <w:basedOn w:val="Normal"/>
    <w:next w:val="Normal"/>
    <w:uiPriority w:val="99"/>
    <w:rsid w:val="006F6B73"/>
    <w:pPr>
      <w:tabs>
        <w:tab w:val="righ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TOC9">
    <w:name w:val="toc 9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rsid w:val="006F6B73"/>
    <w:rPr>
      <w:rFonts w:eastAsia="Times New Roman"/>
    </w:rPr>
  </w:style>
  <w:style w:type="character" w:customStyle="1" w:styleId="FootnoteTextChar">
    <w:name w:val="Footnote Text Char"/>
    <w:link w:val="FootnoteText"/>
    <w:uiPriority w:val="99"/>
    <w:rsid w:val="006F6B73"/>
    <w:rPr>
      <w:rFonts w:ascii="Courier New" w:eastAsia="Times New Roman" w:hAnsi="Courier New" w:cs="Courier New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6B73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6F6B73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F6B73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6F6B73"/>
    <w:rPr>
      <w:rFonts w:ascii="Courier New" w:eastAsia="Times New Roman" w:hAnsi="Courier New" w:cs="Courier New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6F6B73"/>
    <w:rPr>
      <w:rFonts w:eastAsia="Times New Roman"/>
    </w:rPr>
  </w:style>
  <w:style w:type="character" w:styleId="FootnoteReference">
    <w:name w:val="footnote reference"/>
    <w:uiPriority w:val="99"/>
    <w:rsid w:val="006F6B73"/>
    <w:rPr>
      <w:vertAlign w:val="superscript"/>
    </w:rPr>
  </w:style>
  <w:style w:type="character" w:styleId="EndnoteReference">
    <w:name w:val="endnote reference"/>
    <w:uiPriority w:val="99"/>
    <w:rsid w:val="006F6B7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6F6B73"/>
    <w:rPr>
      <w:rFonts w:eastAsia="Times New Roman"/>
    </w:rPr>
  </w:style>
  <w:style w:type="character" w:customStyle="1" w:styleId="EndnoteTextChar">
    <w:name w:val="Endnote Text Char"/>
    <w:link w:val="EndnoteText"/>
    <w:uiPriority w:val="99"/>
    <w:rsid w:val="006F6B73"/>
    <w:rPr>
      <w:rFonts w:ascii="Courier New" w:eastAsia="Times New Roman" w:hAnsi="Courier New" w:cs="Courier New"/>
      <w:sz w:val="24"/>
      <w:szCs w:val="24"/>
    </w:rPr>
  </w:style>
  <w:style w:type="paragraph" w:styleId="TOAHeading">
    <w:name w:val="toa heading"/>
    <w:basedOn w:val="Normal"/>
    <w:next w:val="Normal"/>
    <w:uiPriority w:val="99"/>
    <w:rsid w:val="006F6B73"/>
    <w:pPr>
      <w:tabs>
        <w:tab w:val="right" w:pos="9360"/>
      </w:tabs>
      <w:suppressAutoHyphens/>
      <w:spacing w:line="240" w:lineRule="atLeast"/>
    </w:pPr>
    <w:rPr>
      <w:rFonts w:eastAsia="Times New Roman"/>
    </w:rPr>
  </w:style>
  <w:style w:type="paragraph" w:styleId="NoSpacing">
    <w:name w:val="No Spacing"/>
    <w:uiPriority w:val="1"/>
    <w:qFormat/>
    <w:rsid w:val="00107997"/>
    <w:pPr>
      <w:spacing w:before="0"/>
    </w:pPr>
  </w:style>
  <w:style w:type="paragraph" w:styleId="ListParagraph">
    <w:name w:val="List Paragraph"/>
    <w:basedOn w:val="Normal"/>
    <w:uiPriority w:val="34"/>
    <w:qFormat/>
    <w:rsid w:val="00E91B3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9757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238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38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38A5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8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8A5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0191">
          <w:marLeft w:val="0"/>
          <w:marRight w:val="0"/>
          <w:marTop w:val="0"/>
          <w:marBottom w:val="0"/>
          <w:divBdr>
            <w:top w:val="none" w:sz="0" w:space="0" w:color="3D3D3D"/>
            <w:left w:val="none" w:sz="0" w:space="0" w:color="3D3D3D"/>
            <w:bottom w:val="none" w:sz="0" w:space="0" w:color="3D3D3D"/>
            <w:right w:val="none" w:sz="0" w:space="0" w:color="3D3D3D"/>
          </w:divBdr>
          <w:divsChild>
            <w:div w:id="671226595">
              <w:marLeft w:val="0"/>
              <w:marRight w:val="0"/>
              <w:marTop w:val="0"/>
              <w:marBottom w:val="0"/>
              <w:divBdr>
                <w:top w:val="none" w:sz="0" w:space="0" w:color="3D3D3D"/>
                <w:left w:val="none" w:sz="0" w:space="0" w:color="3D3D3D"/>
                <w:bottom w:val="none" w:sz="0" w:space="0" w:color="3D3D3D"/>
                <w:right w:val="none" w:sz="0" w:space="0" w:color="3D3D3D"/>
              </w:divBdr>
            </w:div>
          </w:divsChild>
        </w:div>
      </w:divsChild>
    </w:div>
    <w:div w:id="5689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0868">
          <w:marLeft w:val="0"/>
          <w:marRight w:val="0"/>
          <w:marTop w:val="0"/>
          <w:marBottom w:val="0"/>
          <w:divBdr>
            <w:top w:val="none" w:sz="0" w:space="0" w:color="3D3D3D"/>
            <w:left w:val="none" w:sz="0" w:space="0" w:color="3D3D3D"/>
            <w:bottom w:val="none" w:sz="0" w:space="0" w:color="3D3D3D"/>
            <w:right w:val="none" w:sz="0" w:space="0" w:color="3D3D3D"/>
          </w:divBdr>
          <w:divsChild>
            <w:div w:id="140777038">
              <w:marLeft w:val="0"/>
              <w:marRight w:val="0"/>
              <w:marTop w:val="0"/>
              <w:marBottom w:val="0"/>
              <w:divBdr>
                <w:top w:val="none" w:sz="0" w:space="0" w:color="3D3D3D"/>
                <w:left w:val="none" w:sz="0" w:space="0" w:color="3D3D3D"/>
                <w:bottom w:val="none" w:sz="0" w:space="0" w:color="3D3D3D"/>
                <w:right w:val="none" w:sz="0" w:space="0" w:color="3D3D3D"/>
              </w:divBdr>
            </w:div>
          </w:divsChild>
        </w:div>
      </w:divsChild>
    </w:div>
    <w:div w:id="891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3899">
          <w:marLeft w:val="0"/>
          <w:marRight w:val="0"/>
          <w:marTop w:val="0"/>
          <w:marBottom w:val="0"/>
          <w:divBdr>
            <w:top w:val="none" w:sz="0" w:space="0" w:color="3D3D3D"/>
            <w:left w:val="none" w:sz="0" w:space="0" w:color="3D3D3D"/>
            <w:bottom w:val="none" w:sz="0" w:space="0" w:color="3D3D3D"/>
            <w:right w:val="none" w:sz="0" w:space="0" w:color="3D3D3D"/>
          </w:divBdr>
          <w:divsChild>
            <w:div w:id="1993749368">
              <w:marLeft w:val="0"/>
              <w:marRight w:val="0"/>
              <w:marTop w:val="0"/>
              <w:marBottom w:val="0"/>
              <w:divBdr>
                <w:top w:val="none" w:sz="0" w:space="0" w:color="3D3D3D"/>
                <w:left w:val="none" w:sz="0" w:space="0" w:color="3D3D3D"/>
                <w:bottom w:val="none" w:sz="0" w:space="0" w:color="3D3D3D"/>
                <w:right w:val="none" w:sz="0" w:space="0" w:color="3D3D3D"/>
              </w:divBdr>
            </w:div>
          </w:divsChild>
        </w:div>
      </w:divsChild>
    </w:div>
    <w:div w:id="10240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9659">
          <w:marLeft w:val="0"/>
          <w:marRight w:val="0"/>
          <w:marTop w:val="0"/>
          <w:marBottom w:val="0"/>
          <w:divBdr>
            <w:top w:val="none" w:sz="0" w:space="0" w:color="3D3D3D"/>
            <w:left w:val="none" w:sz="0" w:space="0" w:color="3D3D3D"/>
            <w:bottom w:val="none" w:sz="0" w:space="0" w:color="3D3D3D"/>
            <w:right w:val="none" w:sz="0" w:space="0" w:color="3D3D3D"/>
          </w:divBdr>
          <w:divsChild>
            <w:div w:id="1919778103">
              <w:marLeft w:val="0"/>
              <w:marRight w:val="0"/>
              <w:marTop w:val="0"/>
              <w:marBottom w:val="0"/>
              <w:divBdr>
                <w:top w:val="none" w:sz="0" w:space="0" w:color="3D3D3D"/>
                <w:left w:val="none" w:sz="0" w:space="0" w:color="3D3D3D"/>
                <w:bottom w:val="none" w:sz="0" w:space="0" w:color="3D3D3D"/>
                <w:right w:val="none" w:sz="0" w:space="0" w:color="3D3D3D"/>
              </w:divBdr>
            </w:div>
            <w:div w:id="811294252">
              <w:marLeft w:val="0"/>
              <w:marRight w:val="0"/>
              <w:marTop w:val="0"/>
              <w:marBottom w:val="0"/>
              <w:divBdr>
                <w:top w:val="none" w:sz="0" w:space="0" w:color="3D3D3D"/>
                <w:left w:val="none" w:sz="0" w:space="0" w:color="3D3D3D"/>
                <w:bottom w:val="none" w:sz="0" w:space="0" w:color="3D3D3D"/>
                <w:right w:val="none" w:sz="0" w:space="0" w:color="3D3D3D"/>
              </w:divBdr>
              <w:divsChild>
                <w:div w:id="1314604235">
                  <w:marLeft w:val="0"/>
                  <w:marRight w:val="0"/>
                  <w:marTop w:val="0"/>
                  <w:marBottom w:val="0"/>
                  <w:divBdr>
                    <w:top w:val="none" w:sz="0" w:space="0" w:color="3D3D3D"/>
                    <w:left w:val="none" w:sz="0" w:space="0" w:color="3D3D3D"/>
                    <w:bottom w:val="none" w:sz="0" w:space="0" w:color="3D3D3D"/>
                    <w:right w:val="none" w:sz="0" w:space="0" w:color="3D3D3D"/>
                  </w:divBdr>
                  <w:divsChild>
                    <w:div w:id="131899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3D3D3D"/>
                        <w:left w:val="none" w:sz="0" w:space="0" w:color="3D3D3D"/>
                        <w:bottom w:val="none" w:sz="0" w:space="0" w:color="3D3D3D"/>
                        <w:right w:val="none" w:sz="0" w:space="0" w:color="3D3D3D"/>
                      </w:divBdr>
                    </w:div>
                  </w:divsChild>
                </w:div>
              </w:divsChild>
            </w:div>
          </w:divsChild>
        </w:div>
      </w:divsChild>
    </w:div>
    <w:div w:id="159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0128">
          <w:marLeft w:val="0"/>
          <w:marRight w:val="0"/>
          <w:marTop w:val="0"/>
          <w:marBottom w:val="0"/>
          <w:divBdr>
            <w:top w:val="none" w:sz="0" w:space="0" w:color="3D3D3D"/>
            <w:left w:val="none" w:sz="0" w:space="0" w:color="3D3D3D"/>
            <w:bottom w:val="none" w:sz="0" w:space="0" w:color="3D3D3D"/>
            <w:right w:val="none" w:sz="0" w:space="0" w:color="3D3D3D"/>
          </w:divBdr>
          <w:divsChild>
            <w:div w:id="1164513038">
              <w:marLeft w:val="0"/>
              <w:marRight w:val="0"/>
              <w:marTop w:val="0"/>
              <w:marBottom w:val="0"/>
              <w:divBdr>
                <w:top w:val="none" w:sz="0" w:space="0" w:color="3D3D3D"/>
                <w:left w:val="none" w:sz="0" w:space="0" w:color="3D3D3D"/>
                <w:bottom w:val="none" w:sz="0" w:space="0" w:color="3D3D3D"/>
                <w:right w:val="none" w:sz="0" w:space="0" w:color="3D3D3D"/>
              </w:divBdr>
            </w:div>
          </w:divsChild>
        </w:div>
      </w:divsChild>
    </w:div>
    <w:div w:id="21085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38507">
          <w:marLeft w:val="0"/>
          <w:marRight w:val="0"/>
          <w:marTop w:val="0"/>
          <w:marBottom w:val="0"/>
          <w:divBdr>
            <w:top w:val="none" w:sz="0" w:space="0" w:color="3D3D3D"/>
            <w:left w:val="none" w:sz="0" w:space="0" w:color="3D3D3D"/>
            <w:bottom w:val="none" w:sz="0" w:space="0" w:color="3D3D3D"/>
            <w:right w:val="none" w:sz="0" w:space="0" w:color="3D3D3D"/>
          </w:divBdr>
          <w:divsChild>
            <w:div w:id="726299407">
              <w:marLeft w:val="0"/>
              <w:marRight w:val="0"/>
              <w:marTop w:val="0"/>
              <w:marBottom w:val="0"/>
              <w:divBdr>
                <w:top w:val="none" w:sz="0" w:space="0" w:color="3D3D3D"/>
                <w:left w:val="none" w:sz="0" w:space="0" w:color="3D3D3D"/>
                <w:bottom w:val="none" w:sz="0" w:space="0" w:color="3D3D3D"/>
                <w:right w:val="none" w:sz="0" w:space="0" w:color="3D3D3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Donnino</dc:creator>
  <cp:keywords/>
  <dc:description/>
  <cp:lastModifiedBy>Bill Donnino</cp:lastModifiedBy>
  <cp:revision>247</cp:revision>
  <cp:lastPrinted>2023-11-09T18:00:00Z</cp:lastPrinted>
  <dcterms:created xsi:type="dcterms:W3CDTF">2023-04-28T19:01:00Z</dcterms:created>
  <dcterms:modified xsi:type="dcterms:W3CDTF">2023-11-21T19:09:00Z</dcterms:modified>
</cp:coreProperties>
</file>