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63593" w14:textId="060D1C19" w:rsidR="00BA1387" w:rsidRPr="00E23508" w:rsidRDefault="00BA1387">
      <w:pPr>
        <w:jc w:val="center"/>
        <w:rPr>
          <w:rFonts w:ascii="Arial" w:hAnsi="Arial" w:cs="Arial"/>
          <w:b/>
          <w:bCs/>
          <w:sz w:val="28"/>
          <w:szCs w:val="28"/>
        </w:rPr>
      </w:pPr>
      <w:r w:rsidRPr="00E23508">
        <w:rPr>
          <w:rFonts w:ascii="Arial" w:hAnsi="Arial" w:cs="Arial"/>
          <w:b/>
          <w:bCs/>
          <w:sz w:val="28"/>
          <w:szCs w:val="28"/>
        </w:rPr>
        <w:t xml:space="preserve">AGGRAVATED UNLICENSED OPERATION </w:t>
      </w:r>
    </w:p>
    <w:p w14:paraId="2E921701" w14:textId="0613E856" w:rsidR="00BA1387" w:rsidRPr="00E23508" w:rsidRDefault="00BA1387">
      <w:pPr>
        <w:jc w:val="center"/>
        <w:rPr>
          <w:rFonts w:ascii="Arial" w:hAnsi="Arial" w:cs="Arial"/>
          <w:b/>
          <w:bCs/>
          <w:sz w:val="28"/>
          <w:szCs w:val="28"/>
        </w:rPr>
      </w:pPr>
      <w:r w:rsidRPr="00E23508">
        <w:rPr>
          <w:rFonts w:ascii="Arial" w:hAnsi="Arial" w:cs="Arial"/>
          <w:b/>
          <w:bCs/>
          <w:sz w:val="28"/>
          <w:szCs w:val="28"/>
        </w:rPr>
        <w:t xml:space="preserve">OF A MOTOR VEHICLE </w:t>
      </w:r>
      <w:r w:rsidR="00D94446">
        <w:rPr>
          <w:rFonts w:ascii="Arial" w:hAnsi="Arial" w:cs="Arial"/>
          <w:b/>
          <w:bCs/>
          <w:sz w:val="28"/>
          <w:szCs w:val="28"/>
        </w:rPr>
        <w:t xml:space="preserve">IN THE </w:t>
      </w:r>
      <w:bookmarkStart w:id="0" w:name="_GoBack"/>
      <w:bookmarkEnd w:id="0"/>
      <w:r w:rsidRPr="00E23508">
        <w:rPr>
          <w:rFonts w:ascii="Arial" w:hAnsi="Arial" w:cs="Arial"/>
          <w:b/>
          <w:bCs/>
          <w:sz w:val="28"/>
          <w:szCs w:val="28"/>
        </w:rPr>
        <w:t xml:space="preserve">SECOND DEGREE </w:t>
      </w:r>
    </w:p>
    <w:p w14:paraId="35894998" w14:textId="77777777" w:rsidR="00BA1387" w:rsidRPr="00E23508" w:rsidRDefault="00BA1387">
      <w:pPr>
        <w:jc w:val="center"/>
        <w:rPr>
          <w:rFonts w:ascii="Arial" w:hAnsi="Arial" w:cs="Arial"/>
          <w:b/>
          <w:bCs/>
          <w:sz w:val="28"/>
          <w:szCs w:val="28"/>
        </w:rPr>
      </w:pPr>
      <w:r w:rsidRPr="00E23508">
        <w:rPr>
          <w:rFonts w:ascii="Arial" w:hAnsi="Arial" w:cs="Arial"/>
          <w:b/>
          <w:bCs/>
          <w:sz w:val="28"/>
          <w:szCs w:val="28"/>
        </w:rPr>
        <w:t>(With a Prior Conviction)</w:t>
      </w:r>
    </w:p>
    <w:p w14:paraId="6ED929F4" w14:textId="77777777" w:rsidR="00BA1387" w:rsidRPr="00E23508" w:rsidRDefault="00BA1387">
      <w:pPr>
        <w:jc w:val="center"/>
        <w:rPr>
          <w:rFonts w:ascii="Arial" w:hAnsi="Arial" w:cs="Arial"/>
          <w:b/>
          <w:bCs/>
          <w:sz w:val="28"/>
          <w:szCs w:val="28"/>
        </w:rPr>
      </w:pPr>
      <w:r w:rsidRPr="00E23508">
        <w:rPr>
          <w:rFonts w:ascii="Arial" w:hAnsi="Arial" w:cs="Arial"/>
          <w:b/>
          <w:bCs/>
          <w:sz w:val="28"/>
          <w:szCs w:val="28"/>
        </w:rPr>
        <w:t xml:space="preserve">Vehicle and Traffic Law </w:t>
      </w:r>
      <w:r w:rsidRPr="00E23508">
        <w:rPr>
          <w:rFonts w:ascii="Arial" w:hAnsi="Arial" w:cs="Arial"/>
          <w:b/>
          <w:bCs/>
          <w:sz w:val="28"/>
          <w:szCs w:val="28"/>
        </w:rPr>
        <w:sym w:font="WP TypographicSymbols" w:char="0027"/>
      </w:r>
      <w:r w:rsidRPr="00E23508">
        <w:rPr>
          <w:rFonts w:ascii="Arial" w:hAnsi="Arial" w:cs="Arial"/>
          <w:b/>
          <w:bCs/>
          <w:sz w:val="28"/>
          <w:szCs w:val="28"/>
        </w:rPr>
        <w:t xml:space="preserve"> 511 (2) (a) (i)</w:t>
      </w:r>
    </w:p>
    <w:p w14:paraId="1C2B5866" w14:textId="77777777" w:rsidR="00BA1387" w:rsidRPr="00E23508" w:rsidRDefault="00BA1387">
      <w:pPr>
        <w:jc w:val="center"/>
        <w:rPr>
          <w:rFonts w:ascii="Arial" w:hAnsi="Arial" w:cs="Arial"/>
          <w:sz w:val="28"/>
          <w:szCs w:val="28"/>
        </w:rPr>
      </w:pPr>
      <w:r w:rsidRPr="00E23508">
        <w:rPr>
          <w:rFonts w:ascii="Arial" w:hAnsi="Arial" w:cs="Arial"/>
          <w:b/>
          <w:bCs/>
          <w:sz w:val="28"/>
          <w:szCs w:val="28"/>
        </w:rPr>
        <w:t>(Committed on or after Oct. 14, 1989)</w:t>
      </w:r>
    </w:p>
    <w:p w14:paraId="45EB041E" w14:textId="77777777" w:rsidR="00BA1387" w:rsidRPr="00E23508" w:rsidRDefault="00BA1387">
      <w:pPr>
        <w:jc w:val="center"/>
        <w:rPr>
          <w:rFonts w:ascii="Arial" w:hAnsi="Arial" w:cs="Arial"/>
          <w:sz w:val="28"/>
          <w:szCs w:val="28"/>
        </w:rPr>
      </w:pPr>
      <w:r w:rsidRPr="00E23508">
        <w:rPr>
          <w:rFonts w:ascii="Arial" w:hAnsi="Arial" w:cs="Arial"/>
          <w:b/>
          <w:bCs/>
          <w:sz w:val="28"/>
          <w:szCs w:val="28"/>
        </w:rPr>
        <w:t>(Revised Jan. 2008</w:t>
      </w:r>
      <w:r w:rsidRPr="00E23508">
        <w:rPr>
          <w:rStyle w:val="FootnoteReference"/>
          <w:rFonts w:ascii="Arial" w:hAnsi="Arial" w:cs="Arial"/>
          <w:b/>
          <w:bCs/>
          <w:sz w:val="28"/>
          <w:szCs w:val="28"/>
          <w:vertAlign w:val="superscript"/>
        </w:rPr>
        <w:footnoteReference w:id="1"/>
      </w:r>
      <w:r w:rsidRPr="00E23508">
        <w:rPr>
          <w:rFonts w:ascii="Arial" w:hAnsi="Arial" w:cs="Arial"/>
          <w:b/>
          <w:bCs/>
          <w:sz w:val="28"/>
          <w:szCs w:val="28"/>
        </w:rPr>
        <w:t xml:space="preserve"> and Aug. 2008</w:t>
      </w:r>
      <w:r w:rsidRPr="00E23508">
        <w:rPr>
          <w:rStyle w:val="FootnoteReference"/>
          <w:rFonts w:ascii="Arial" w:hAnsi="Arial" w:cs="Arial"/>
          <w:b/>
          <w:bCs/>
          <w:sz w:val="28"/>
          <w:szCs w:val="28"/>
          <w:vertAlign w:val="superscript"/>
        </w:rPr>
        <w:footnoteReference w:id="2"/>
      </w:r>
      <w:r w:rsidRPr="00E23508">
        <w:rPr>
          <w:rFonts w:ascii="Arial" w:hAnsi="Arial" w:cs="Arial"/>
          <w:b/>
          <w:bCs/>
          <w:sz w:val="28"/>
          <w:szCs w:val="28"/>
        </w:rPr>
        <w:t>)</w:t>
      </w:r>
    </w:p>
    <w:p w14:paraId="6409BC2D" w14:textId="340719B9" w:rsidR="00BA1387" w:rsidRDefault="00BA1387">
      <w:pPr>
        <w:jc w:val="center"/>
        <w:rPr>
          <w:rFonts w:ascii="Arial" w:hAnsi="Arial" w:cs="Arial"/>
          <w:sz w:val="28"/>
          <w:szCs w:val="28"/>
        </w:rPr>
      </w:pPr>
    </w:p>
    <w:p w14:paraId="5CE76C6E" w14:textId="77777777" w:rsidR="00BA1387" w:rsidRPr="00E23508" w:rsidRDefault="00BA1387">
      <w:pPr>
        <w:ind w:firstLine="720"/>
        <w:jc w:val="both"/>
        <w:rPr>
          <w:rFonts w:ascii="Arial" w:hAnsi="Arial" w:cs="Arial"/>
          <w:sz w:val="28"/>
          <w:szCs w:val="28"/>
        </w:rPr>
      </w:pPr>
      <w:r w:rsidRPr="00E23508">
        <w:rPr>
          <w:rFonts w:ascii="Arial" w:hAnsi="Arial" w:cs="Arial"/>
          <w:sz w:val="28"/>
          <w:szCs w:val="28"/>
        </w:rPr>
        <w:t>The (</w:t>
      </w:r>
      <w:r w:rsidRPr="00E23508">
        <w:rPr>
          <w:rFonts w:ascii="Arial" w:hAnsi="Arial" w:cs="Arial"/>
          <w:i/>
          <w:iCs/>
          <w:sz w:val="28"/>
          <w:szCs w:val="28"/>
          <w:u w:val="single"/>
        </w:rPr>
        <w:t>specify</w:t>
      </w:r>
      <w:r w:rsidRPr="00E23508">
        <w:rPr>
          <w:rFonts w:ascii="Arial" w:hAnsi="Arial" w:cs="Arial"/>
          <w:sz w:val="28"/>
          <w:szCs w:val="28"/>
        </w:rPr>
        <w:t>) count is Aggravated Unlicensed Operation of a Motor Vehicle in the Second Degree.</w:t>
      </w:r>
    </w:p>
    <w:p w14:paraId="3537A67B" w14:textId="77777777" w:rsidR="00BA1387" w:rsidRPr="00E23508" w:rsidRDefault="00BA1387">
      <w:pPr>
        <w:ind w:firstLine="2880"/>
        <w:jc w:val="both"/>
        <w:rPr>
          <w:rFonts w:ascii="Arial" w:hAnsi="Arial" w:cs="Arial"/>
          <w:sz w:val="28"/>
          <w:szCs w:val="28"/>
        </w:rPr>
      </w:pPr>
    </w:p>
    <w:p w14:paraId="32FA9374" w14:textId="3D40DF0C" w:rsidR="00BA1387" w:rsidRDefault="00BA1387">
      <w:pPr>
        <w:ind w:firstLine="720"/>
        <w:jc w:val="both"/>
        <w:rPr>
          <w:rFonts w:ascii="Arial" w:hAnsi="Arial" w:cs="Arial"/>
          <w:sz w:val="28"/>
          <w:szCs w:val="28"/>
        </w:rPr>
      </w:pPr>
      <w:r w:rsidRPr="00E23508">
        <w:rPr>
          <w:rFonts w:ascii="Arial" w:hAnsi="Arial" w:cs="Arial"/>
          <w:sz w:val="28"/>
          <w:szCs w:val="28"/>
        </w:rPr>
        <w:t>Under our law a person is guilty of Aggravated Unlicensed Operation of a Motor Vehicle in the Second Degree when such person operates a motor vehicle upon a public highway while knowing or having reason to know that his or her license or privilege of operating such motor vehicle in this state or privilege of obtaining a license to operate such motor vehicle issued by the commissioner is suspended, revoked or otherwise withdrawn by the commissioner</w:t>
      </w:r>
      <w:r w:rsidRPr="00E23508">
        <w:rPr>
          <w:rStyle w:val="FootnoteReference"/>
          <w:rFonts w:ascii="Arial" w:hAnsi="Arial" w:cs="Arial"/>
          <w:sz w:val="28"/>
          <w:szCs w:val="28"/>
          <w:vertAlign w:val="superscript"/>
        </w:rPr>
        <w:footnoteReference w:id="3"/>
      </w:r>
    </w:p>
    <w:p w14:paraId="51F789A7" w14:textId="77777777" w:rsidR="00BA1387" w:rsidRPr="00E23508" w:rsidRDefault="00BA1387">
      <w:pPr>
        <w:jc w:val="both"/>
        <w:rPr>
          <w:rFonts w:ascii="Arial" w:hAnsi="Arial" w:cs="Arial"/>
          <w:sz w:val="28"/>
          <w:szCs w:val="28"/>
        </w:rPr>
      </w:pPr>
    </w:p>
    <w:p w14:paraId="2068B492" w14:textId="77777777" w:rsidR="00BA1387" w:rsidRPr="00E23508" w:rsidRDefault="00BA1387">
      <w:pPr>
        <w:jc w:val="both"/>
        <w:rPr>
          <w:rFonts w:ascii="Arial" w:hAnsi="Arial" w:cs="Arial"/>
          <w:sz w:val="28"/>
          <w:szCs w:val="28"/>
        </w:rPr>
      </w:pPr>
      <w:r w:rsidRPr="00E23508">
        <w:rPr>
          <w:rFonts w:ascii="Arial" w:hAnsi="Arial" w:cs="Arial"/>
          <w:sz w:val="28"/>
          <w:szCs w:val="28"/>
        </w:rPr>
        <w:t>[and has previously been convicted of an offense that consists of or includes the elements comprising the offense committed within the immediately preceding eighteen months.</w:t>
      </w:r>
      <w:r w:rsidRPr="00E23508">
        <w:rPr>
          <w:rStyle w:val="FootnoteReference"/>
          <w:rFonts w:ascii="Arial" w:hAnsi="Arial" w:cs="Arial"/>
          <w:sz w:val="28"/>
          <w:szCs w:val="28"/>
          <w:vertAlign w:val="superscript"/>
        </w:rPr>
        <w:footnoteReference w:id="4"/>
      </w:r>
      <w:r w:rsidRPr="00E23508">
        <w:rPr>
          <w:rFonts w:ascii="Arial" w:hAnsi="Arial" w:cs="Arial"/>
          <w:sz w:val="28"/>
          <w:szCs w:val="28"/>
        </w:rPr>
        <w:t>]</w:t>
      </w:r>
    </w:p>
    <w:p w14:paraId="6BE403E7" w14:textId="77777777" w:rsidR="00BA1387" w:rsidRPr="00E23508" w:rsidRDefault="00BA1387">
      <w:pPr>
        <w:jc w:val="both"/>
        <w:rPr>
          <w:rFonts w:ascii="Arial" w:hAnsi="Arial" w:cs="Arial"/>
          <w:sz w:val="28"/>
          <w:szCs w:val="28"/>
        </w:rPr>
        <w:sectPr w:rsidR="00BA1387" w:rsidRPr="00E23508">
          <w:pgSz w:w="12240" w:h="15840"/>
          <w:pgMar w:top="1080" w:right="2160" w:bottom="1080" w:left="2160" w:header="1080" w:footer="1080" w:gutter="0"/>
          <w:cols w:space="720"/>
          <w:noEndnote/>
        </w:sectPr>
      </w:pPr>
    </w:p>
    <w:p w14:paraId="3C640E68" w14:textId="77777777" w:rsidR="00E23508" w:rsidRDefault="00E23508">
      <w:pPr>
        <w:ind w:firstLine="720"/>
        <w:jc w:val="both"/>
        <w:rPr>
          <w:rFonts w:ascii="Arial" w:hAnsi="Arial" w:cs="Arial"/>
          <w:sz w:val="28"/>
          <w:szCs w:val="28"/>
        </w:rPr>
      </w:pPr>
    </w:p>
    <w:p w14:paraId="23B44520" w14:textId="77777777" w:rsidR="00E23508" w:rsidRDefault="00BA1387" w:rsidP="00E23508">
      <w:pPr>
        <w:ind w:firstLine="720"/>
        <w:jc w:val="both"/>
        <w:rPr>
          <w:rFonts w:ascii="Arial" w:hAnsi="Arial" w:cs="Arial"/>
          <w:sz w:val="28"/>
          <w:szCs w:val="28"/>
        </w:rPr>
      </w:pPr>
      <w:r w:rsidRPr="00E23508">
        <w:rPr>
          <w:rFonts w:ascii="Arial" w:hAnsi="Arial" w:cs="Arial"/>
          <w:sz w:val="28"/>
          <w:szCs w:val="28"/>
        </w:rPr>
        <w:t>The following terms used in that definition have a special meaning:</w:t>
      </w:r>
      <w:r w:rsidR="00E23508">
        <w:rPr>
          <w:rFonts w:ascii="Arial" w:hAnsi="Arial" w:cs="Arial"/>
          <w:sz w:val="28"/>
          <w:szCs w:val="28"/>
        </w:rPr>
        <w:t xml:space="preserve"> </w:t>
      </w:r>
    </w:p>
    <w:p w14:paraId="29024A98" w14:textId="77777777" w:rsidR="00E23508" w:rsidRDefault="00E23508" w:rsidP="00E23508">
      <w:pPr>
        <w:ind w:firstLine="720"/>
        <w:jc w:val="both"/>
        <w:rPr>
          <w:rFonts w:ascii="Arial" w:hAnsi="Arial" w:cs="Arial"/>
          <w:sz w:val="28"/>
          <w:szCs w:val="28"/>
        </w:rPr>
      </w:pPr>
    </w:p>
    <w:p w14:paraId="05E994BE" w14:textId="55CCB32B" w:rsidR="00BA1387" w:rsidRPr="00E23508" w:rsidRDefault="00BA1387" w:rsidP="00E23508">
      <w:pPr>
        <w:ind w:firstLine="720"/>
        <w:jc w:val="both"/>
        <w:rPr>
          <w:rFonts w:ascii="Arial" w:hAnsi="Arial" w:cs="Arial"/>
          <w:sz w:val="28"/>
          <w:szCs w:val="28"/>
        </w:rPr>
      </w:pPr>
      <w:r w:rsidRPr="00E23508">
        <w:rPr>
          <w:rFonts w:ascii="Arial" w:hAnsi="Arial" w:cs="Arial"/>
          <w:sz w:val="28"/>
          <w:szCs w:val="28"/>
        </w:rPr>
        <w:t>MOTOR VEHICLE means every vehicle operated or driven upon a public highway which is propelled by any power other than muscular power.</w:t>
      </w:r>
      <w:r w:rsidRPr="00E23508">
        <w:rPr>
          <w:rStyle w:val="FootnoteReference"/>
          <w:rFonts w:ascii="Arial" w:hAnsi="Arial" w:cs="Arial"/>
          <w:sz w:val="28"/>
          <w:szCs w:val="28"/>
          <w:vertAlign w:val="superscript"/>
        </w:rPr>
        <w:footnoteReference w:id="5"/>
      </w:r>
    </w:p>
    <w:p w14:paraId="6CFC0254" w14:textId="77777777" w:rsidR="00BA1387" w:rsidRPr="00E23508" w:rsidRDefault="00BA1387">
      <w:pPr>
        <w:jc w:val="both"/>
        <w:rPr>
          <w:rFonts w:ascii="Arial" w:hAnsi="Arial" w:cs="Arial"/>
          <w:sz w:val="28"/>
          <w:szCs w:val="28"/>
        </w:rPr>
      </w:pPr>
    </w:p>
    <w:p w14:paraId="1AF25165" w14:textId="77777777" w:rsidR="00BA1387" w:rsidRPr="00E23508" w:rsidRDefault="00BA1387">
      <w:pPr>
        <w:ind w:firstLine="720"/>
        <w:jc w:val="both"/>
        <w:rPr>
          <w:rFonts w:ascii="Arial" w:hAnsi="Arial" w:cs="Arial"/>
          <w:sz w:val="28"/>
          <w:szCs w:val="28"/>
        </w:rPr>
      </w:pPr>
      <w:r w:rsidRPr="00E23508">
        <w:rPr>
          <w:rFonts w:ascii="Arial" w:hAnsi="Arial" w:cs="Arial"/>
          <w:sz w:val="28"/>
          <w:szCs w:val="28"/>
        </w:rPr>
        <w:t>To OPERATE a motor vehicle means to drive it.</w:t>
      </w:r>
    </w:p>
    <w:p w14:paraId="5D29535A" w14:textId="77777777" w:rsidR="00BA1387" w:rsidRPr="00E23508" w:rsidRDefault="00BA1387">
      <w:pPr>
        <w:jc w:val="both"/>
        <w:rPr>
          <w:rFonts w:ascii="Arial" w:hAnsi="Arial" w:cs="Arial"/>
          <w:sz w:val="28"/>
          <w:szCs w:val="28"/>
        </w:rPr>
      </w:pPr>
    </w:p>
    <w:p w14:paraId="156F7E5D" w14:textId="77777777" w:rsidR="00BA1387" w:rsidRPr="00E23508" w:rsidRDefault="00BA1387">
      <w:pPr>
        <w:ind w:left="720"/>
        <w:jc w:val="both"/>
        <w:rPr>
          <w:rFonts w:ascii="Arial" w:hAnsi="Arial" w:cs="Arial"/>
          <w:sz w:val="28"/>
          <w:szCs w:val="28"/>
        </w:rPr>
      </w:pPr>
      <w:r w:rsidRPr="00E23508">
        <w:rPr>
          <w:rFonts w:ascii="Arial" w:hAnsi="Arial" w:cs="Arial"/>
          <w:sz w:val="28"/>
          <w:szCs w:val="28"/>
        </w:rPr>
        <w:t>[</w:t>
      </w:r>
      <w:r w:rsidRPr="00E23508">
        <w:rPr>
          <w:rFonts w:ascii="Arial" w:hAnsi="Arial" w:cs="Arial"/>
          <w:i/>
          <w:iCs/>
          <w:sz w:val="28"/>
          <w:szCs w:val="28"/>
        </w:rPr>
        <w:t>NOTE: Add the following if there is an issue as to operation:</w:t>
      </w:r>
    </w:p>
    <w:p w14:paraId="714F6104" w14:textId="77777777" w:rsidR="00BA1387" w:rsidRPr="00E23508" w:rsidRDefault="00BA1387">
      <w:pPr>
        <w:jc w:val="both"/>
        <w:rPr>
          <w:rFonts w:ascii="Arial" w:hAnsi="Arial" w:cs="Arial"/>
          <w:sz w:val="28"/>
          <w:szCs w:val="28"/>
        </w:rPr>
      </w:pPr>
    </w:p>
    <w:p w14:paraId="0D49CF3E" w14:textId="77777777" w:rsidR="00BA1387" w:rsidRPr="00E23508" w:rsidRDefault="00BA1387">
      <w:pPr>
        <w:ind w:left="720"/>
        <w:jc w:val="both"/>
        <w:rPr>
          <w:rFonts w:ascii="Arial" w:hAnsi="Arial" w:cs="Arial"/>
          <w:sz w:val="28"/>
          <w:szCs w:val="28"/>
        </w:rPr>
      </w:pPr>
      <w:r w:rsidRPr="00E23508">
        <w:rPr>
          <w:rFonts w:ascii="Arial" w:hAnsi="Arial" w:cs="Arial"/>
          <w:sz w:val="28"/>
          <w:szCs w:val="28"/>
        </w:rPr>
        <w:t>A person also OPERATES a motor vehicle when such person is sitting behind the wheel of a motor vehicle for the purpose of placing the vehicle in motion, and when either the motor vehicle is moving, or even if it is not moving, the engine is running.</w:t>
      </w:r>
      <w:r w:rsidRPr="00E23508">
        <w:rPr>
          <w:rStyle w:val="FootnoteReference"/>
          <w:rFonts w:ascii="Arial" w:hAnsi="Arial" w:cs="Arial"/>
          <w:sz w:val="28"/>
          <w:szCs w:val="28"/>
          <w:vertAlign w:val="superscript"/>
        </w:rPr>
        <w:footnoteReference w:id="6"/>
      </w:r>
      <w:r w:rsidRPr="00E23508">
        <w:rPr>
          <w:rFonts w:ascii="Arial" w:hAnsi="Arial" w:cs="Arial"/>
          <w:sz w:val="28"/>
          <w:szCs w:val="28"/>
        </w:rPr>
        <w:t>]</w:t>
      </w:r>
    </w:p>
    <w:p w14:paraId="63A02981" w14:textId="77777777" w:rsidR="00BA1387" w:rsidRPr="00E23508" w:rsidRDefault="00BA1387">
      <w:pPr>
        <w:jc w:val="both"/>
        <w:rPr>
          <w:rFonts w:ascii="Arial" w:hAnsi="Arial" w:cs="Arial"/>
          <w:sz w:val="28"/>
          <w:szCs w:val="28"/>
        </w:rPr>
      </w:pPr>
    </w:p>
    <w:p w14:paraId="12652B9C" w14:textId="77777777" w:rsidR="00BA1387" w:rsidRPr="00E23508" w:rsidRDefault="00BA1387">
      <w:pPr>
        <w:ind w:firstLine="720"/>
        <w:jc w:val="both"/>
        <w:rPr>
          <w:rFonts w:ascii="Arial" w:hAnsi="Arial" w:cs="Arial"/>
          <w:sz w:val="28"/>
          <w:szCs w:val="28"/>
        </w:rPr>
      </w:pPr>
      <w:r w:rsidRPr="00E23508">
        <w:rPr>
          <w:rFonts w:ascii="Arial" w:hAnsi="Arial" w:cs="Arial"/>
          <w:sz w:val="28"/>
          <w:szCs w:val="28"/>
        </w:rPr>
        <w:t>In order for you to find the defendant guilty of this crime, the People are required to prove, from all of the evidence in the case beyond a reasonable doubt, (both/each) of the following (two/three) elements:</w:t>
      </w:r>
    </w:p>
    <w:p w14:paraId="4E46A8CF" w14:textId="77777777" w:rsidR="00BA1387" w:rsidRPr="00E23508" w:rsidRDefault="00BA1387">
      <w:pPr>
        <w:jc w:val="both"/>
        <w:rPr>
          <w:rFonts w:ascii="Arial" w:hAnsi="Arial" w:cs="Arial"/>
          <w:sz w:val="28"/>
          <w:szCs w:val="28"/>
        </w:rPr>
      </w:pPr>
    </w:p>
    <w:p w14:paraId="07C6DC54" w14:textId="77777777" w:rsidR="00BA1387" w:rsidRPr="00E23508" w:rsidRDefault="00BA1387">
      <w:pPr>
        <w:tabs>
          <w:tab w:val="left" w:pos="-1440"/>
        </w:tabs>
        <w:ind w:left="1440" w:hanging="720"/>
        <w:jc w:val="both"/>
        <w:rPr>
          <w:rFonts w:ascii="Arial" w:hAnsi="Arial" w:cs="Arial"/>
          <w:sz w:val="28"/>
          <w:szCs w:val="28"/>
        </w:rPr>
      </w:pPr>
      <w:r w:rsidRPr="00E23508">
        <w:rPr>
          <w:rFonts w:ascii="Arial" w:hAnsi="Arial" w:cs="Arial"/>
          <w:sz w:val="28"/>
          <w:szCs w:val="28"/>
        </w:rPr>
        <w:t>1.</w:t>
      </w:r>
      <w:r w:rsidRPr="00E23508">
        <w:rPr>
          <w:rFonts w:ascii="Arial" w:hAnsi="Arial" w:cs="Arial"/>
          <w:sz w:val="28"/>
          <w:szCs w:val="28"/>
        </w:rPr>
        <w:tab/>
        <w:t>That on or about (</w:t>
      </w:r>
      <w:r w:rsidRPr="00E23508">
        <w:rPr>
          <w:rFonts w:ascii="Arial" w:hAnsi="Arial" w:cs="Arial"/>
          <w:i/>
          <w:iCs/>
          <w:sz w:val="28"/>
          <w:szCs w:val="28"/>
          <w:u w:val="single"/>
        </w:rPr>
        <w:t>date</w:t>
      </w:r>
      <w:r w:rsidRPr="00E23508">
        <w:rPr>
          <w:rFonts w:ascii="Arial" w:hAnsi="Arial" w:cs="Arial"/>
          <w:sz w:val="28"/>
          <w:szCs w:val="28"/>
        </w:rPr>
        <w:t>), in the county of (</w:t>
      </w:r>
      <w:r w:rsidRPr="00E23508">
        <w:rPr>
          <w:rFonts w:ascii="Arial" w:hAnsi="Arial" w:cs="Arial"/>
          <w:i/>
          <w:iCs/>
          <w:sz w:val="28"/>
          <w:szCs w:val="28"/>
          <w:u w:val="single"/>
        </w:rPr>
        <w:t>County</w:t>
      </w:r>
      <w:r w:rsidRPr="00E23508">
        <w:rPr>
          <w:rFonts w:ascii="Arial" w:hAnsi="Arial" w:cs="Arial"/>
          <w:sz w:val="28"/>
          <w:szCs w:val="28"/>
        </w:rPr>
        <w:t>), the defendant (</w:t>
      </w:r>
      <w:r w:rsidRPr="00E23508">
        <w:rPr>
          <w:rFonts w:ascii="Arial" w:hAnsi="Arial" w:cs="Arial"/>
          <w:i/>
          <w:iCs/>
          <w:sz w:val="28"/>
          <w:szCs w:val="28"/>
          <w:u w:val="single"/>
        </w:rPr>
        <w:t>defendant</w:t>
      </w:r>
      <w:r w:rsidRPr="00E23508">
        <w:rPr>
          <w:rFonts w:ascii="Arial" w:hAnsi="Arial" w:cs="Arial"/>
          <w:i/>
          <w:iCs/>
          <w:sz w:val="28"/>
          <w:szCs w:val="28"/>
          <w:u w:val="single"/>
        </w:rPr>
        <w:sym w:font="WP TypographicSymbols" w:char="003D"/>
      </w:r>
      <w:r w:rsidRPr="00E23508">
        <w:rPr>
          <w:rFonts w:ascii="Arial" w:hAnsi="Arial" w:cs="Arial"/>
          <w:i/>
          <w:iCs/>
          <w:sz w:val="28"/>
          <w:szCs w:val="28"/>
          <w:u w:val="single"/>
        </w:rPr>
        <w:t>s name</w:t>
      </w:r>
      <w:r w:rsidRPr="00E23508">
        <w:rPr>
          <w:rFonts w:ascii="Arial" w:hAnsi="Arial" w:cs="Arial"/>
          <w:sz w:val="28"/>
          <w:szCs w:val="28"/>
        </w:rPr>
        <w:t>) operated a motor vehicle on</w:t>
      </w:r>
      <w:bookmarkStart w:id="1" w:name="QuickMark"/>
      <w:bookmarkEnd w:id="1"/>
      <w:r w:rsidRPr="00E23508">
        <w:rPr>
          <w:rFonts w:ascii="Arial" w:hAnsi="Arial" w:cs="Arial"/>
          <w:sz w:val="28"/>
          <w:szCs w:val="28"/>
        </w:rPr>
        <w:t xml:space="preserve"> a public highway; [and]</w:t>
      </w:r>
    </w:p>
    <w:p w14:paraId="72FF2ECC" w14:textId="77777777" w:rsidR="00BA1387" w:rsidRPr="00E23508" w:rsidRDefault="00BA1387">
      <w:pPr>
        <w:jc w:val="both"/>
        <w:rPr>
          <w:rFonts w:ascii="Arial" w:hAnsi="Arial" w:cs="Arial"/>
          <w:sz w:val="28"/>
          <w:szCs w:val="28"/>
        </w:rPr>
      </w:pPr>
    </w:p>
    <w:p w14:paraId="42B32F5C" w14:textId="77777777" w:rsidR="00BA1387" w:rsidRPr="00E23508" w:rsidRDefault="00BA1387">
      <w:pPr>
        <w:jc w:val="both"/>
        <w:rPr>
          <w:rFonts w:ascii="Arial" w:hAnsi="Arial" w:cs="Arial"/>
          <w:sz w:val="28"/>
          <w:szCs w:val="28"/>
        </w:rPr>
        <w:sectPr w:rsidR="00BA1387" w:rsidRPr="00E23508">
          <w:footerReference w:type="default" r:id="rId6"/>
          <w:type w:val="continuous"/>
          <w:pgSz w:w="12240" w:h="15840"/>
          <w:pgMar w:top="1080" w:right="2160" w:bottom="1080" w:left="2160" w:header="1080" w:footer="1080" w:gutter="0"/>
          <w:cols w:space="720"/>
          <w:noEndnote/>
        </w:sectPr>
      </w:pPr>
    </w:p>
    <w:p w14:paraId="6F2CC1F2" w14:textId="77777777" w:rsidR="00BA1387" w:rsidRPr="00E23508" w:rsidRDefault="00BA1387">
      <w:pPr>
        <w:tabs>
          <w:tab w:val="left" w:pos="-1440"/>
        </w:tabs>
        <w:ind w:left="1440" w:hanging="720"/>
        <w:jc w:val="both"/>
        <w:rPr>
          <w:rFonts w:ascii="Arial" w:hAnsi="Arial" w:cs="Arial"/>
          <w:sz w:val="28"/>
          <w:szCs w:val="28"/>
        </w:rPr>
      </w:pPr>
      <w:r w:rsidRPr="00E23508">
        <w:rPr>
          <w:rFonts w:ascii="Arial" w:hAnsi="Arial" w:cs="Arial"/>
          <w:sz w:val="28"/>
          <w:szCs w:val="28"/>
        </w:rPr>
        <w:t xml:space="preserve">2. </w:t>
      </w:r>
      <w:r w:rsidRPr="00E23508">
        <w:rPr>
          <w:rFonts w:ascii="Arial" w:hAnsi="Arial" w:cs="Arial"/>
          <w:sz w:val="28"/>
          <w:szCs w:val="28"/>
        </w:rPr>
        <w:tab/>
        <w:t xml:space="preserve">That the defendant did so while knowing or having </w:t>
      </w:r>
      <w:r w:rsidRPr="00E23508">
        <w:rPr>
          <w:rFonts w:ascii="Arial" w:hAnsi="Arial" w:cs="Arial"/>
          <w:sz w:val="28"/>
          <w:szCs w:val="28"/>
        </w:rPr>
        <w:lastRenderedPageBreak/>
        <w:t>reason to know that his/her license or privilege of operating such motor vehicle in this state or privilege of obtaining a license to operate such motor vehicle issued by the commissioner is suspended, revoked or otherwise withdrawn by the commissioner [; and]</w:t>
      </w:r>
    </w:p>
    <w:p w14:paraId="231965D7" w14:textId="77777777" w:rsidR="00BA1387" w:rsidRPr="00E23508" w:rsidRDefault="00BA1387">
      <w:pPr>
        <w:jc w:val="both"/>
        <w:rPr>
          <w:rFonts w:ascii="Arial" w:hAnsi="Arial" w:cs="Arial"/>
          <w:sz w:val="28"/>
          <w:szCs w:val="28"/>
        </w:rPr>
      </w:pPr>
    </w:p>
    <w:p w14:paraId="2064A593" w14:textId="77777777" w:rsidR="00BA1387" w:rsidRPr="00E23508" w:rsidRDefault="00BA1387">
      <w:pPr>
        <w:tabs>
          <w:tab w:val="left" w:pos="-1440"/>
        </w:tabs>
        <w:ind w:left="1440" w:hanging="720"/>
        <w:jc w:val="both"/>
        <w:rPr>
          <w:rFonts w:ascii="Arial" w:hAnsi="Arial" w:cs="Arial"/>
          <w:sz w:val="28"/>
          <w:szCs w:val="28"/>
        </w:rPr>
      </w:pPr>
      <w:r w:rsidRPr="00E23508">
        <w:rPr>
          <w:rFonts w:ascii="Arial" w:hAnsi="Arial" w:cs="Arial"/>
          <w:sz w:val="28"/>
          <w:szCs w:val="28"/>
        </w:rPr>
        <w:t>[3.</w:t>
      </w:r>
      <w:r w:rsidRPr="00E23508">
        <w:rPr>
          <w:rFonts w:ascii="Arial" w:hAnsi="Arial" w:cs="Arial"/>
          <w:sz w:val="28"/>
          <w:szCs w:val="28"/>
        </w:rPr>
        <w:tab/>
        <w:t>That the defendant had previously been convicted of an offense that consisted of or included the elements comprising the offense committed within the immediately preceding eighteen months.</w:t>
      </w:r>
      <w:r w:rsidRPr="00E23508">
        <w:rPr>
          <w:rStyle w:val="FootnoteReference"/>
          <w:rFonts w:ascii="Arial" w:hAnsi="Arial" w:cs="Arial"/>
          <w:sz w:val="28"/>
          <w:szCs w:val="28"/>
          <w:vertAlign w:val="superscript"/>
        </w:rPr>
        <w:footnoteReference w:id="7"/>
      </w:r>
      <w:r w:rsidRPr="00E23508">
        <w:rPr>
          <w:rFonts w:ascii="Arial" w:hAnsi="Arial" w:cs="Arial"/>
          <w:sz w:val="28"/>
          <w:szCs w:val="28"/>
        </w:rPr>
        <w:t>]</w:t>
      </w:r>
    </w:p>
    <w:p w14:paraId="5030C248" w14:textId="77777777" w:rsidR="00BA1387" w:rsidRPr="00E23508" w:rsidRDefault="00BA1387">
      <w:pPr>
        <w:rPr>
          <w:rFonts w:ascii="Arial" w:hAnsi="Arial" w:cs="Arial"/>
          <w:sz w:val="28"/>
          <w:szCs w:val="28"/>
        </w:rPr>
      </w:pPr>
    </w:p>
    <w:p w14:paraId="799A21BD" w14:textId="77777777" w:rsidR="00BA1387" w:rsidRPr="00E23508" w:rsidRDefault="00BA1387">
      <w:pPr>
        <w:ind w:firstLine="720"/>
        <w:jc w:val="both"/>
        <w:rPr>
          <w:rFonts w:ascii="Arial" w:hAnsi="Arial" w:cs="Arial"/>
          <w:sz w:val="28"/>
          <w:szCs w:val="28"/>
        </w:rPr>
      </w:pPr>
      <w:r w:rsidRPr="00E23508">
        <w:rPr>
          <w:rFonts w:ascii="Arial" w:hAnsi="Arial" w:cs="Arial"/>
          <w:sz w:val="28"/>
          <w:szCs w:val="28"/>
        </w:rPr>
        <w:t>If you find the People have proven beyond a reasonable doubt [both / each] of those elements, you must find the defendant guilty of this crime.</w:t>
      </w:r>
    </w:p>
    <w:p w14:paraId="290D4AD8" w14:textId="77777777" w:rsidR="00BA1387" w:rsidRPr="00E23508" w:rsidRDefault="00BA1387">
      <w:pPr>
        <w:jc w:val="both"/>
        <w:rPr>
          <w:rFonts w:ascii="Arial" w:hAnsi="Arial" w:cs="Arial"/>
          <w:sz w:val="28"/>
          <w:szCs w:val="28"/>
        </w:rPr>
      </w:pPr>
    </w:p>
    <w:p w14:paraId="7DFD0B9E" w14:textId="77777777" w:rsidR="00BA1387" w:rsidRPr="00E23508" w:rsidRDefault="00BA1387">
      <w:pPr>
        <w:ind w:firstLine="720"/>
        <w:jc w:val="both"/>
        <w:rPr>
          <w:rFonts w:ascii="Arial" w:hAnsi="Arial" w:cs="Arial"/>
          <w:sz w:val="28"/>
          <w:szCs w:val="28"/>
        </w:rPr>
      </w:pPr>
      <w:r w:rsidRPr="00E23508">
        <w:rPr>
          <w:rFonts w:ascii="Arial" w:hAnsi="Arial" w:cs="Arial"/>
          <w:sz w:val="28"/>
          <w:szCs w:val="28"/>
        </w:rPr>
        <w:t>If you find the People have not proven beyond a reasonable doubt [either one / any one or more] of those elements, you must find the defendant not guilty of this crime.</w:t>
      </w:r>
    </w:p>
    <w:p w14:paraId="6FB3B3B7" w14:textId="77777777" w:rsidR="00BA1387" w:rsidRPr="00E23508" w:rsidRDefault="00BA1387">
      <w:pPr>
        <w:rPr>
          <w:rFonts w:ascii="Arial" w:hAnsi="Arial" w:cs="Arial"/>
          <w:sz w:val="28"/>
          <w:szCs w:val="28"/>
        </w:rPr>
      </w:pPr>
    </w:p>
    <w:sectPr w:rsidR="00BA1387" w:rsidRPr="00E23508" w:rsidSect="00BA1387">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0AAB5" w14:textId="77777777" w:rsidR="00BA1387" w:rsidRDefault="00BA1387" w:rsidP="00BA1387">
      <w:r>
        <w:separator/>
      </w:r>
    </w:p>
  </w:endnote>
  <w:endnote w:type="continuationSeparator" w:id="0">
    <w:p w14:paraId="749834D6" w14:textId="77777777" w:rsidR="00BA1387" w:rsidRDefault="00BA1387" w:rsidP="00BA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3D12" w14:textId="77777777" w:rsidR="00BA1387" w:rsidRDefault="00BA1387">
    <w:pPr>
      <w:spacing w:line="240" w:lineRule="exact"/>
    </w:pPr>
  </w:p>
  <w:p w14:paraId="0029CCFC" w14:textId="77777777" w:rsidR="00BA1387" w:rsidRDefault="00BA1387">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E23508">
      <w:rPr>
        <w:rFonts w:ascii="Arial" w:hAnsi="Arial" w:cs="Arial"/>
        <w:noProof/>
        <w:sz w:val="20"/>
        <w:szCs w:val="20"/>
      </w:rPr>
      <w:t>2</w:t>
    </w:r>
    <w:r>
      <w:rPr>
        <w:rFonts w:ascii="Arial" w:hAnsi="Arial" w:cs="Arial"/>
        <w:sz w:val="20"/>
        <w:szCs w:val="20"/>
      </w:rPr>
      <w:fldChar w:fldCharType="end"/>
    </w:r>
  </w:p>
  <w:p w14:paraId="5EA9932C" w14:textId="77777777" w:rsidR="00BA1387" w:rsidRDefault="00BA1387">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2757B" w14:textId="77777777" w:rsidR="00BA1387" w:rsidRDefault="00BA1387" w:rsidP="00BA1387">
      <w:r>
        <w:separator/>
      </w:r>
    </w:p>
  </w:footnote>
  <w:footnote w:type="continuationSeparator" w:id="0">
    <w:p w14:paraId="74576185" w14:textId="77777777" w:rsidR="00BA1387" w:rsidRDefault="00BA1387" w:rsidP="00BA1387">
      <w:r>
        <w:continuationSeparator/>
      </w:r>
    </w:p>
  </w:footnote>
  <w:footnote w:id="1">
    <w:p w14:paraId="290C524B" w14:textId="77777777" w:rsidR="00BA1387" w:rsidRPr="00E23508" w:rsidRDefault="00BA1387">
      <w:pPr>
        <w:spacing w:after="240"/>
        <w:ind w:firstLine="720"/>
        <w:jc w:val="both"/>
        <w:rPr>
          <w:rFonts w:ascii="Arial" w:hAnsi="Arial" w:cs="Arial"/>
        </w:rPr>
      </w:pPr>
      <w:r>
        <w:rPr>
          <w:rFonts w:ascii="Microsoft Uighur" w:hAnsi="Microsoft Uighur" w:cs="Microsoft Uighur"/>
          <w:vertAlign w:val="superscript"/>
        </w:rPr>
        <w:t xml:space="preserve">1 </w:t>
      </w:r>
      <w:r w:rsidRPr="00E23508">
        <w:rPr>
          <w:rFonts w:ascii="Arial" w:hAnsi="Arial" w:cs="Arial"/>
        </w:rPr>
        <w:t xml:space="preserve">The January, 2008 revision was for the purpose of providing a clearer definition of </w:t>
      </w:r>
      <w:r w:rsidRPr="00E23508">
        <w:rPr>
          <w:rFonts w:ascii="Arial" w:hAnsi="Arial" w:cs="Arial"/>
        </w:rPr>
        <w:sym w:font="WP TypographicSymbols" w:char="0041"/>
      </w:r>
      <w:r w:rsidRPr="00E23508">
        <w:rPr>
          <w:rFonts w:ascii="Arial" w:hAnsi="Arial" w:cs="Arial"/>
        </w:rPr>
        <w:t>operates</w:t>
      </w:r>
      <w:r w:rsidRPr="00E23508">
        <w:rPr>
          <w:rFonts w:ascii="Arial" w:hAnsi="Arial" w:cs="Arial"/>
        </w:rPr>
        <w:sym w:font="WP TypographicSymbols" w:char="0040"/>
      </w:r>
      <w:r w:rsidRPr="00E23508">
        <w:rPr>
          <w:rFonts w:ascii="Arial" w:hAnsi="Arial" w:cs="Arial"/>
        </w:rPr>
        <w:t xml:space="preserve"> by removing the language </w:t>
      </w:r>
      <w:r w:rsidRPr="00E23508">
        <w:rPr>
          <w:rFonts w:ascii="Arial" w:hAnsi="Arial" w:cs="Arial"/>
        </w:rPr>
        <w:sym w:font="WP TypographicSymbols" w:char="0041"/>
      </w:r>
      <w:r w:rsidRPr="00E23508">
        <w:rPr>
          <w:rFonts w:ascii="Arial" w:hAnsi="Arial" w:cs="Arial"/>
        </w:rPr>
        <w:t>for the purpose of placing it in operation</w:t>
      </w:r>
      <w:r w:rsidRPr="00E23508">
        <w:rPr>
          <w:rFonts w:ascii="Arial" w:hAnsi="Arial" w:cs="Arial"/>
        </w:rPr>
        <w:sym w:font="WP TypographicSymbols" w:char="0040"/>
      </w:r>
      <w:r w:rsidRPr="00E23508">
        <w:rPr>
          <w:rFonts w:ascii="Arial" w:hAnsi="Arial" w:cs="Arial"/>
        </w:rPr>
        <w:t xml:space="preserve"> and replacing such language with </w:t>
      </w:r>
      <w:r w:rsidRPr="00E23508">
        <w:rPr>
          <w:rFonts w:ascii="Arial" w:hAnsi="Arial" w:cs="Arial"/>
        </w:rPr>
        <w:sym w:font="WP TypographicSymbols" w:char="0041"/>
      </w:r>
      <w:r w:rsidRPr="00E23508">
        <w:rPr>
          <w:rFonts w:ascii="Arial" w:hAnsi="Arial" w:cs="Arial"/>
        </w:rPr>
        <w:t>for the purpose of placing the vehicle in motion.</w:t>
      </w:r>
      <w:r w:rsidRPr="00E23508">
        <w:rPr>
          <w:rFonts w:ascii="Arial" w:hAnsi="Arial" w:cs="Arial"/>
          <w:i/>
          <w:iCs/>
        </w:rPr>
        <w:sym w:font="WP TypographicSymbols" w:char="0040"/>
      </w:r>
      <w:r w:rsidRPr="00E23508">
        <w:rPr>
          <w:rFonts w:ascii="Arial" w:hAnsi="Arial" w:cs="Arial"/>
          <w:i/>
          <w:iCs/>
        </w:rPr>
        <w:t xml:space="preserve"> See People v Alamo</w:t>
      </w:r>
      <w:r w:rsidRPr="00E23508">
        <w:rPr>
          <w:rFonts w:ascii="Arial" w:hAnsi="Arial" w:cs="Arial"/>
        </w:rPr>
        <w:t xml:space="preserve">, 34 NY2d 453, 458 (1974); </w:t>
      </w:r>
      <w:r w:rsidRPr="00E23508">
        <w:rPr>
          <w:rFonts w:ascii="Arial" w:hAnsi="Arial" w:cs="Arial"/>
          <w:i/>
          <w:iCs/>
        </w:rPr>
        <w:t>People v Marriott</w:t>
      </w:r>
      <w:r w:rsidRPr="00E23508">
        <w:rPr>
          <w:rFonts w:ascii="Arial" w:hAnsi="Arial" w:cs="Arial"/>
        </w:rPr>
        <w:t xml:space="preserve">, 37 AD2d 868 (3d Dept 1971); </w:t>
      </w:r>
      <w:r w:rsidRPr="00E23508">
        <w:rPr>
          <w:rFonts w:ascii="Arial" w:hAnsi="Arial" w:cs="Arial"/>
          <w:i/>
          <w:iCs/>
        </w:rPr>
        <w:t xml:space="preserve">People v O'Connor, </w:t>
      </w:r>
      <w:r w:rsidRPr="00E23508">
        <w:rPr>
          <w:rFonts w:ascii="Arial" w:hAnsi="Arial" w:cs="Arial"/>
        </w:rPr>
        <w:t xml:space="preserve">159 Misc2d 1072, 1074-1075 (Dist Ct, Suffolk 1994). </w:t>
      </w:r>
      <w:r w:rsidRPr="00E23508">
        <w:rPr>
          <w:rFonts w:ascii="Arial" w:hAnsi="Arial" w:cs="Arial"/>
          <w:i/>
          <w:iCs/>
        </w:rPr>
        <w:t>See also</w:t>
      </w:r>
      <w:r w:rsidRPr="00E23508">
        <w:rPr>
          <w:rFonts w:ascii="Arial" w:hAnsi="Arial" w:cs="Arial"/>
        </w:rPr>
        <w:t xml:space="preserve"> </w:t>
      </w:r>
      <w:r w:rsidRPr="00E23508">
        <w:rPr>
          <w:rFonts w:ascii="Arial" w:hAnsi="Arial" w:cs="Arial"/>
          <w:i/>
          <w:iCs/>
        </w:rPr>
        <w:t>People v Prescott</w:t>
      </w:r>
      <w:r w:rsidRPr="00E23508">
        <w:rPr>
          <w:rFonts w:ascii="Arial" w:hAnsi="Arial" w:cs="Arial"/>
        </w:rPr>
        <w:t>, 95 NY2d 655, 662 (2001).</w:t>
      </w:r>
    </w:p>
  </w:footnote>
  <w:footnote w:id="2">
    <w:p w14:paraId="58BDDA57" w14:textId="77777777" w:rsidR="00BA1387" w:rsidRPr="00E23508" w:rsidRDefault="00BA1387">
      <w:pPr>
        <w:spacing w:after="240"/>
        <w:ind w:firstLine="720"/>
        <w:jc w:val="both"/>
        <w:rPr>
          <w:rFonts w:ascii="Arial" w:hAnsi="Arial" w:cs="Arial"/>
        </w:rPr>
      </w:pPr>
      <w:r w:rsidRPr="00E23508">
        <w:rPr>
          <w:rFonts w:ascii="Arial" w:hAnsi="Arial" w:cs="Arial"/>
          <w:vertAlign w:val="superscript"/>
        </w:rPr>
        <w:t xml:space="preserve">2 </w:t>
      </w:r>
      <w:r w:rsidRPr="00E23508">
        <w:rPr>
          <w:rFonts w:ascii="Arial" w:hAnsi="Arial" w:cs="Arial"/>
        </w:rPr>
        <w:t xml:space="preserve">The August, 2008 revision was tor the purpose of providing an appropriate instruction for instances when the defendant admits to the reason for the suspension.  If the defendant has so admitted, the bracketed section of the definition of the offense is omitted. </w:t>
      </w:r>
      <w:r w:rsidRPr="00E23508">
        <w:rPr>
          <w:rFonts w:ascii="Arial" w:hAnsi="Arial" w:cs="Arial"/>
          <w:i/>
          <w:iCs/>
        </w:rPr>
        <w:t>(See</w:t>
      </w:r>
      <w:r w:rsidRPr="00E23508">
        <w:rPr>
          <w:rFonts w:ascii="Arial" w:hAnsi="Arial" w:cs="Arial"/>
        </w:rPr>
        <w:t xml:space="preserve"> footnote four).</w:t>
      </w:r>
    </w:p>
  </w:footnote>
  <w:footnote w:id="3">
    <w:p w14:paraId="066E264F" w14:textId="189A229E" w:rsidR="00BA1387" w:rsidRPr="00E23508" w:rsidRDefault="00BA1387">
      <w:pPr>
        <w:spacing w:after="240"/>
        <w:ind w:firstLine="720"/>
        <w:rPr>
          <w:rFonts w:ascii="Arial" w:hAnsi="Arial" w:cs="Arial"/>
        </w:rPr>
      </w:pPr>
      <w:r w:rsidRPr="00E23508">
        <w:rPr>
          <w:rFonts w:ascii="Arial" w:hAnsi="Arial" w:cs="Arial"/>
          <w:vertAlign w:val="superscript"/>
        </w:rPr>
        <w:t>3</w:t>
      </w:r>
      <w:r w:rsidRPr="00E23508">
        <w:rPr>
          <w:rFonts w:ascii="Arial" w:hAnsi="Arial" w:cs="Arial"/>
        </w:rPr>
        <w:t xml:space="preserve"> </w:t>
      </w:r>
      <w:r w:rsidRPr="00E23508">
        <w:rPr>
          <w:rFonts w:ascii="Arial" w:hAnsi="Arial" w:cs="Arial"/>
        </w:rPr>
        <w:sym w:font="WP TypographicSymbols" w:char="0041"/>
      </w:r>
      <w:r w:rsidRPr="00E23508">
        <w:rPr>
          <w:rFonts w:ascii="Arial" w:hAnsi="Arial" w:cs="Arial"/>
        </w:rPr>
        <w:t>Commissioner</w:t>
      </w:r>
      <w:r w:rsidRPr="00E23508">
        <w:rPr>
          <w:rFonts w:ascii="Arial" w:hAnsi="Arial" w:cs="Arial"/>
        </w:rPr>
        <w:sym w:font="WP TypographicSymbols" w:char="0040"/>
      </w:r>
      <w:r w:rsidRPr="00E23508">
        <w:rPr>
          <w:rFonts w:ascii="Arial" w:hAnsi="Arial" w:cs="Arial"/>
        </w:rPr>
        <w:t xml:space="preserve"> is defined as </w:t>
      </w:r>
      <w:r w:rsidRPr="00E23508">
        <w:rPr>
          <w:rFonts w:ascii="Arial" w:hAnsi="Arial" w:cs="Arial"/>
        </w:rPr>
        <w:sym w:font="WP TypographicSymbols" w:char="0041"/>
      </w:r>
      <w:r w:rsidRPr="00E23508">
        <w:rPr>
          <w:rFonts w:ascii="Arial" w:hAnsi="Arial" w:cs="Arial"/>
        </w:rPr>
        <w:t>the commissioner of motor vehicles of this state</w:t>
      </w:r>
      <w:r w:rsidRPr="00E23508">
        <w:rPr>
          <w:rFonts w:ascii="Arial" w:hAnsi="Arial" w:cs="Arial"/>
        </w:rPr>
        <w:sym w:font="WP TypographicSymbols" w:char="0040"/>
      </w:r>
      <w:r w:rsidRPr="00E23508">
        <w:rPr>
          <w:rFonts w:ascii="Arial" w:hAnsi="Arial" w:cs="Arial"/>
        </w:rPr>
        <w:t xml:space="preserve"> (Vehicle and Traffic Law </w:t>
      </w:r>
      <w:r w:rsidRPr="00E23508">
        <w:rPr>
          <w:rFonts w:ascii="Arial" w:hAnsi="Arial" w:cs="Arial"/>
        </w:rPr>
        <w:sym w:font="WP TypographicSymbols" w:char="0027"/>
      </w:r>
      <w:r w:rsidRPr="00E23508">
        <w:rPr>
          <w:rFonts w:ascii="Arial" w:hAnsi="Arial" w:cs="Arial"/>
        </w:rPr>
        <w:t xml:space="preserve"> 108).</w:t>
      </w:r>
    </w:p>
  </w:footnote>
  <w:footnote w:id="4">
    <w:p w14:paraId="4AC04AFD" w14:textId="77777777" w:rsidR="00BA1387" w:rsidRPr="00E23508" w:rsidRDefault="00BA1387">
      <w:pPr>
        <w:spacing w:after="240"/>
        <w:ind w:firstLine="720"/>
        <w:jc w:val="both"/>
        <w:rPr>
          <w:rFonts w:ascii="Arial" w:hAnsi="Arial" w:cs="Arial"/>
        </w:rPr>
      </w:pPr>
      <w:r w:rsidRPr="00E23508">
        <w:rPr>
          <w:rFonts w:ascii="Arial" w:hAnsi="Arial" w:cs="Arial"/>
          <w:vertAlign w:val="superscript"/>
        </w:rPr>
        <w:t>4</w:t>
      </w:r>
      <w:r w:rsidRPr="00E23508">
        <w:rPr>
          <w:rFonts w:ascii="Arial" w:hAnsi="Arial" w:cs="Arial"/>
        </w:rPr>
        <w:t xml:space="preserve"> </w:t>
      </w:r>
      <w:r w:rsidRPr="00E23508">
        <w:rPr>
          <w:rFonts w:ascii="Arial" w:hAnsi="Arial" w:cs="Arial"/>
          <w:sz w:val="22"/>
          <w:szCs w:val="22"/>
        </w:rPr>
        <w:t>If the defendant has admitted to the reason for the suspension set forth in the special information pursuant to CPL 200.60, this element would not be presented to the jury for its consideration.</w:t>
      </w:r>
      <w:r w:rsidRPr="00E23508">
        <w:rPr>
          <w:rFonts w:ascii="Arial" w:hAnsi="Arial" w:cs="Arial"/>
          <w:i/>
          <w:iCs/>
          <w:sz w:val="22"/>
          <w:szCs w:val="22"/>
        </w:rPr>
        <w:t xml:space="preserve">  See People v Cooper</w:t>
      </w:r>
      <w:r w:rsidRPr="00E23508">
        <w:rPr>
          <w:rFonts w:ascii="Arial" w:hAnsi="Arial" w:cs="Arial"/>
          <w:sz w:val="22"/>
          <w:szCs w:val="22"/>
        </w:rPr>
        <w:t xml:space="preserve">, 8 NY2d 476 (1991); </w:t>
      </w:r>
      <w:r w:rsidRPr="00E23508">
        <w:rPr>
          <w:rFonts w:ascii="Arial" w:hAnsi="Arial" w:cs="Arial"/>
          <w:i/>
          <w:iCs/>
          <w:sz w:val="22"/>
          <w:szCs w:val="22"/>
        </w:rPr>
        <w:t>People v Flanagan</w:t>
      </w:r>
      <w:r w:rsidRPr="00E23508">
        <w:rPr>
          <w:rFonts w:ascii="Arial" w:hAnsi="Arial" w:cs="Arial"/>
          <w:sz w:val="22"/>
          <w:szCs w:val="22"/>
        </w:rPr>
        <w:t xml:space="preserve">, 247 AD2d 899 (4th Dept 1998); </w:t>
      </w:r>
      <w:r w:rsidRPr="00E23508">
        <w:rPr>
          <w:rFonts w:ascii="Arial" w:hAnsi="Arial" w:cs="Arial"/>
          <w:i/>
          <w:iCs/>
          <w:sz w:val="22"/>
          <w:szCs w:val="22"/>
        </w:rPr>
        <w:t>People v Boyles</w:t>
      </w:r>
      <w:r w:rsidRPr="00E23508">
        <w:rPr>
          <w:rFonts w:ascii="Arial" w:hAnsi="Arial" w:cs="Arial"/>
          <w:sz w:val="22"/>
          <w:szCs w:val="22"/>
        </w:rPr>
        <w:t xml:space="preserve">, 210 AD2d 732 (3d Dept 1994); </w:t>
      </w:r>
      <w:r w:rsidRPr="00E23508">
        <w:rPr>
          <w:rFonts w:ascii="Arial" w:hAnsi="Arial" w:cs="Arial"/>
          <w:i/>
          <w:iCs/>
          <w:sz w:val="22"/>
          <w:szCs w:val="22"/>
        </w:rPr>
        <w:t>People v Sawyer</w:t>
      </w:r>
      <w:r w:rsidRPr="00E23508">
        <w:rPr>
          <w:rFonts w:ascii="Arial" w:hAnsi="Arial" w:cs="Arial"/>
          <w:sz w:val="22"/>
          <w:szCs w:val="22"/>
        </w:rPr>
        <w:t xml:space="preserve">, 188 AD2d 939 (3d Dept 1992); </w:t>
      </w:r>
      <w:r w:rsidRPr="00E23508">
        <w:rPr>
          <w:rFonts w:ascii="Arial" w:hAnsi="Arial" w:cs="Arial"/>
          <w:i/>
          <w:iCs/>
          <w:sz w:val="22"/>
          <w:szCs w:val="22"/>
        </w:rPr>
        <w:t>People v Miller</w:t>
      </w:r>
      <w:r w:rsidRPr="00E23508">
        <w:rPr>
          <w:rFonts w:ascii="Arial" w:hAnsi="Arial" w:cs="Arial"/>
          <w:sz w:val="22"/>
          <w:szCs w:val="22"/>
        </w:rPr>
        <w:t>, 142 AD2d 760 (3d Dept 1988).</w:t>
      </w:r>
    </w:p>
  </w:footnote>
  <w:footnote w:id="5">
    <w:p w14:paraId="4E099EC8" w14:textId="4FB720C1" w:rsidR="00BA1387" w:rsidRPr="00E23508" w:rsidRDefault="00BA1387">
      <w:pPr>
        <w:spacing w:after="240"/>
        <w:ind w:firstLine="720"/>
        <w:jc w:val="both"/>
        <w:rPr>
          <w:rFonts w:ascii="Arial" w:hAnsi="Arial" w:cs="Arial"/>
        </w:rPr>
      </w:pPr>
      <w:r>
        <w:rPr>
          <w:rFonts w:ascii="Microsoft Uighur" w:hAnsi="Microsoft Uighur" w:cs="Microsoft Uighur"/>
          <w:vertAlign w:val="superscript"/>
        </w:rPr>
        <w:t xml:space="preserve">5 </w:t>
      </w:r>
      <w:r w:rsidRPr="00E23508">
        <w:rPr>
          <w:rFonts w:ascii="Arial" w:hAnsi="Arial" w:cs="Arial"/>
        </w:rPr>
        <w:t xml:space="preserve">The term </w:t>
      </w:r>
      <w:r w:rsidRPr="00E23508">
        <w:rPr>
          <w:rFonts w:ascii="Arial" w:hAnsi="Arial" w:cs="Arial"/>
        </w:rPr>
        <w:sym w:font="WP TypographicSymbols" w:char="0041"/>
      </w:r>
      <w:r w:rsidRPr="00E23508">
        <w:rPr>
          <w:rFonts w:ascii="Arial" w:hAnsi="Arial" w:cs="Arial"/>
        </w:rPr>
        <w:t>motor vehicle</w:t>
      </w:r>
      <w:r w:rsidRPr="00E23508">
        <w:rPr>
          <w:rFonts w:ascii="Arial" w:hAnsi="Arial" w:cs="Arial"/>
        </w:rPr>
        <w:sym w:font="WP TypographicSymbols" w:char="0040"/>
      </w:r>
      <w:r w:rsidRPr="00E23508">
        <w:rPr>
          <w:rFonts w:ascii="Arial" w:hAnsi="Arial" w:cs="Arial"/>
        </w:rPr>
        <w:t xml:space="preserve"> is defined in Vehicle and Traffic Law </w:t>
      </w:r>
      <w:r w:rsidRPr="00E23508">
        <w:rPr>
          <w:rFonts w:ascii="Arial" w:hAnsi="Arial" w:cs="Arial"/>
        </w:rPr>
        <w:sym w:font="WP TypographicSymbols" w:char="0027"/>
      </w:r>
      <w:r w:rsidRPr="00E23508">
        <w:rPr>
          <w:rFonts w:ascii="Arial" w:hAnsi="Arial" w:cs="Arial"/>
        </w:rPr>
        <w:t xml:space="preserve"> 125. That definition contains exceptions which are not set forth in the text of this charge. The term </w:t>
      </w:r>
      <w:r w:rsidRPr="00E23508">
        <w:rPr>
          <w:rFonts w:ascii="Arial" w:hAnsi="Arial" w:cs="Arial"/>
        </w:rPr>
        <w:sym w:font="WP TypographicSymbols" w:char="0041"/>
      </w:r>
      <w:r w:rsidRPr="00E23508">
        <w:rPr>
          <w:rFonts w:ascii="Arial" w:hAnsi="Arial" w:cs="Arial"/>
        </w:rPr>
        <w:t>public highway</w:t>
      </w:r>
      <w:r w:rsidRPr="00E23508">
        <w:rPr>
          <w:rFonts w:ascii="Arial" w:hAnsi="Arial" w:cs="Arial"/>
        </w:rPr>
        <w:sym w:font="WP TypographicSymbols" w:char="0040"/>
      </w:r>
      <w:r w:rsidRPr="00E23508">
        <w:rPr>
          <w:rFonts w:ascii="Arial" w:hAnsi="Arial" w:cs="Arial"/>
        </w:rPr>
        <w:t xml:space="preserve"> appearing the definition of </w:t>
      </w:r>
      <w:r w:rsidRPr="00E23508">
        <w:rPr>
          <w:rFonts w:ascii="Arial" w:hAnsi="Arial" w:cs="Arial"/>
        </w:rPr>
        <w:sym w:font="WP TypographicSymbols" w:char="0041"/>
      </w:r>
      <w:r w:rsidRPr="00E23508">
        <w:rPr>
          <w:rFonts w:ascii="Arial" w:hAnsi="Arial" w:cs="Arial"/>
        </w:rPr>
        <w:t>motor vehicle</w:t>
      </w:r>
      <w:r w:rsidRPr="00E23508">
        <w:rPr>
          <w:rFonts w:ascii="Arial" w:hAnsi="Arial" w:cs="Arial"/>
        </w:rPr>
        <w:sym w:font="WP TypographicSymbols" w:char="0040"/>
      </w:r>
      <w:r w:rsidRPr="00E23508">
        <w:rPr>
          <w:rFonts w:ascii="Arial" w:hAnsi="Arial" w:cs="Arial"/>
        </w:rPr>
        <w:t xml:space="preserve"> is itself separately defined in Vehicle and Traffic Law </w:t>
      </w:r>
      <w:r w:rsidRPr="00E23508">
        <w:rPr>
          <w:rFonts w:ascii="Arial" w:hAnsi="Arial" w:cs="Arial"/>
        </w:rPr>
        <w:sym w:font="WP TypographicSymbols" w:char="0027"/>
      </w:r>
      <w:r w:rsidRPr="00E23508">
        <w:rPr>
          <w:rFonts w:ascii="Arial" w:hAnsi="Arial" w:cs="Arial"/>
        </w:rPr>
        <w:t> 134 and the terms within that definition are also separately defined in article 1 of the Vehicle and Traffic Law.  If an exception or definition is in issue, then the charge should be amplified accordingly.</w:t>
      </w:r>
    </w:p>
  </w:footnote>
  <w:footnote w:id="6">
    <w:p w14:paraId="621D3473" w14:textId="77777777" w:rsidR="00BA1387" w:rsidRPr="00E23508" w:rsidRDefault="00BA1387">
      <w:pPr>
        <w:spacing w:after="240"/>
        <w:ind w:firstLine="720"/>
        <w:jc w:val="both"/>
        <w:rPr>
          <w:rFonts w:ascii="Arial" w:hAnsi="Arial" w:cs="Arial"/>
        </w:rPr>
      </w:pPr>
      <w:r w:rsidRPr="00E23508">
        <w:rPr>
          <w:rFonts w:ascii="Arial" w:hAnsi="Arial" w:cs="Arial"/>
          <w:vertAlign w:val="superscript"/>
        </w:rPr>
        <w:t>6</w:t>
      </w:r>
      <w:r w:rsidRPr="00E23508">
        <w:rPr>
          <w:rFonts w:ascii="Arial" w:hAnsi="Arial" w:cs="Arial"/>
        </w:rPr>
        <w:t xml:space="preserve"> </w:t>
      </w:r>
      <w:r w:rsidRPr="00E23508">
        <w:rPr>
          <w:rFonts w:ascii="Arial" w:hAnsi="Arial" w:cs="Arial"/>
          <w:i/>
          <w:iCs/>
        </w:rPr>
        <w:t>See</w:t>
      </w:r>
      <w:r w:rsidRPr="00E23508">
        <w:rPr>
          <w:rFonts w:ascii="Arial" w:hAnsi="Arial" w:cs="Arial"/>
        </w:rPr>
        <w:t xml:space="preserve"> cases in footnote one, which define the term </w:t>
      </w:r>
      <w:r w:rsidRPr="00E23508">
        <w:rPr>
          <w:rFonts w:ascii="Arial" w:hAnsi="Arial" w:cs="Arial"/>
        </w:rPr>
        <w:sym w:font="WP TypographicSymbols" w:char="0041"/>
      </w:r>
      <w:r w:rsidRPr="00E23508">
        <w:rPr>
          <w:rFonts w:ascii="Arial" w:hAnsi="Arial" w:cs="Arial"/>
        </w:rPr>
        <w:t>operate</w:t>
      </w:r>
      <w:r w:rsidRPr="00E23508">
        <w:rPr>
          <w:rFonts w:ascii="Arial" w:hAnsi="Arial" w:cs="Arial"/>
        </w:rPr>
        <w:sym w:font="WP TypographicSymbols" w:char="0040"/>
      </w:r>
      <w:r w:rsidRPr="00E23508">
        <w:rPr>
          <w:rFonts w:ascii="Arial" w:hAnsi="Arial" w:cs="Arial"/>
        </w:rPr>
        <w:t xml:space="preserve"> a motor vehicle in the statutes defining </w:t>
      </w:r>
      <w:r w:rsidRPr="00E23508">
        <w:rPr>
          <w:rFonts w:ascii="Arial" w:hAnsi="Arial" w:cs="Arial"/>
        </w:rPr>
        <w:sym w:font="WP TypographicSymbols" w:char="0041"/>
      </w:r>
      <w:r w:rsidRPr="00E23508">
        <w:rPr>
          <w:rFonts w:ascii="Arial" w:hAnsi="Arial" w:cs="Arial"/>
        </w:rPr>
        <w:t>operating a motor vehicle while under the influence of alcohol or drugs</w:t>
      </w:r>
      <w:r w:rsidRPr="00E23508">
        <w:rPr>
          <w:rFonts w:ascii="Arial" w:hAnsi="Arial" w:cs="Arial"/>
        </w:rPr>
        <w:sym w:font="WP TypographicSymbols" w:char="0040"/>
      </w:r>
      <w:r w:rsidRPr="00E23508">
        <w:rPr>
          <w:rFonts w:ascii="Arial" w:hAnsi="Arial" w:cs="Arial"/>
        </w:rPr>
        <w:t xml:space="preserve"> (Vehicle and Traffic Law </w:t>
      </w:r>
      <w:r w:rsidRPr="00E23508">
        <w:rPr>
          <w:rFonts w:ascii="Arial" w:hAnsi="Arial" w:cs="Arial"/>
        </w:rPr>
        <w:sym w:font="WP TypographicSymbols" w:char="0027"/>
      </w:r>
      <w:r w:rsidRPr="00E23508">
        <w:rPr>
          <w:rFonts w:ascii="Arial" w:hAnsi="Arial" w:cs="Arial"/>
        </w:rPr>
        <w:t> 1192).</w:t>
      </w:r>
    </w:p>
  </w:footnote>
  <w:footnote w:id="7">
    <w:p w14:paraId="1571F8CC" w14:textId="77777777" w:rsidR="00BA1387" w:rsidRPr="00E23508" w:rsidRDefault="00BA1387">
      <w:pPr>
        <w:spacing w:after="240"/>
        <w:ind w:firstLine="720"/>
        <w:jc w:val="both"/>
        <w:rPr>
          <w:rFonts w:ascii="Arial" w:hAnsi="Arial" w:cs="Arial"/>
          <w:sz w:val="42"/>
          <w:szCs w:val="42"/>
        </w:rPr>
      </w:pPr>
      <w:r w:rsidRPr="00E23508">
        <w:rPr>
          <w:rFonts w:ascii="Arial" w:hAnsi="Arial" w:cs="Arial"/>
          <w:vertAlign w:val="superscript"/>
        </w:rPr>
        <w:t>7</w:t>
      </w:r>
      <w:r w:rsidRPr="00E23508">
        <w:rPr>
          <w:rFonts w:ascii="Arial" w:hAnsi="Arial" w:cs="Arial"/>
        </w:rPr>
        <w:t xml:space="preserve"> </w:t>
      </w:r>
      <w:r w:rsidRPr="00E23508">
        <w:rPr>
          <w:rFonts w:ascii="Arial" w:hAnsi="Arial" w:cs="Arial"/>
          <w:i/>
          <w:iCs/>
        </w:rPr>
        <w:t>See</w:t>
      </w:r>
      <w:r w:rsidRPr="00E23508">
        <w:rPr>
          <w:rFonts w:ascii="Arial" w:hAnsi="Arial" w:cs="Arial"/>
        </w:rPr>
        <w:t xml:space="preserve"> footnote four.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FB32E02-8AC9-4D0C-BCAA-9B07B4FDB574}"/>
    <w:docVar w:name="dgnword-eventsink" w:val="433616888"/>
  </w:docVars>
  <w:rsids>
    <w:rsidRoot w:val="00BA1387"/>
    <w:rsid w:val="00BA1387"/>
    <w:rsid w:val="00D94446"/>
    <w:rsid w:val="00E2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5D1975"/>
  <w14:defaultImageDpi w14:val="0"/>
  <w15:docId w15:val="{A72DF676-5AF3-485B-9767-A7661579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3</cp:revision>
  <dcterms:created xsi:type="dcterms:W3CDTF">2020-01-07T05:39:00Z</dcterms:created>
  <dcterms:modified xsi:type="dcterms:W3CDTF">2020-01-08T03:03:00Z</dcterms:modified>
</cp:coreProperties>
</file>