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USE OF A CHEMICAL WEAPON</w:t>
        <w:br/>
      </w:r>
      <w:r>
        <w:rPr>
          <w:rFonts w:ascii="Arial" w:hAnsi="Arial" w:eastAsia="Arial"/>
          <w:b w:val="true"/>
          <w:strike w:val="false"/>
          <w:color w:val="000000"/>
          <w:spacing w:val="0"/>
          <w:w w:val="100"/>
          <w:sz w:val="28"/>
          <w:vertAlign w:val="baseline"/>
          <w:lang w:val="en-US"/>
        </w:rPr>
        <w:t xml:space="preserve">OR BIOLOGICAL WEAPON IN THE FIRST DEGREE</w:t>
        <w:br/>
      </w:r>
      <w:r>
        <w:rPr>
          <w:rFonts w:ascii="Arial" w:hAnsi="Arial" w:eastAsia="Arial"/>
          <w:b w:val="true"/>
          <w:strike w:val="false"/>
          <w:color w:val="000000"/>
          <w:spacing w:val="0"/>
          <w:w w:val="100"/>
          <w:sz w:val="28"/>
          <w:vertAlign w:val="baseline"/>
          <w:lang w:val="en-US"/>
        </w:rPr>
        <w:t xml:space="preserve">Penal Law § 490.55(2)</w:t>
        <w:br/>
      </w:r>
      <w:r>
        <w:rPr>
          <w:rFonts w:ascii="Arial" w:hAnsi="Arial" w:eastAsia="Arial"/>
          <w:b w:val="true"/>
          <w:strike w:val="false"/>
          <w:color w:val="000000"/>
          <w:spacing w:val="0"/>
          <w:w w:val="100"/>
          <w:sz w:val="28"/>
          <w:vertAlign w:val="baseline"/>
          <w:lang w:val="en-US"/>
        </w:rPr>
        <w:t xml:space="preserve">(Committed on or after July 23, 2004)</w:t>
      </w:r>
    </w:p>
    <w:p>
      <w:pPr>
        <w:pageBreakBefore w:val="false"/>
        <w:spacing w:before="640"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Criminal Use of a Chemical Weapon or Biological Weapon in the First Degree.</w:t>
      </w:r>
    </w:p>
    <w:p>
      <w:pPr>
        <w:pageBreakBefore w:val="false"/>
        <w:spacing w:before="324"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Criminal Use of a Chemical Weapon or Biological Weapon in the First Degree when with intent to cause serious physical injury to, or the death of, more than two persons, he or she uses, deploys, releases, or causes to be used, deployed, or released any select chemical agent and thereby causes serious physical injury to, or the death of, more than two persons who are not participants in the crime.</w:t>
      </w:r>
    </w:p>
    <w:p>
      <w:pPr>
        <w:pageBreakBefore w:val="false"/>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6"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SELECT CHEMICAL AGENT means an identified chemical weapon, including </w:t>
      </w:r>
      <w:r>
        <w:rPr>
          <w:rFonts w:ascii="Arial" w:hAnsi="Arial" w:eastAsia="Arial"/>
          <w:i w:val="true"/>
          <w:strike w:val="false"/>
          <w:color w:val="000000"/>
          <w:spacing w:val="0"/>
          <w:w w:val="100"/>
          <w:sz w:val="28"/>
          <w:u w:val="single"/>
          <w:vertAlign w:val="baseline"/>
          <w:lang w:val="en-US"/>
        </w:rPr>
        <w:t xml:space="preserve">( specify)</w:t>
      </w:r>
      <w:r>
        <w:rPr>
          <w:rFonts w:ascii="Arial" w:hAnsi="Arial" w:eastAsia="Arial"/>
          <w:strike w:val="false"/>
          <w:color w:val="000000"/>
          <w:spacing w:val="0"/>
          <w:w w:val="100"/>
          <w:sz w:val="28"/>
          <w:vertAlign w:val="baseline"/>
          <w:lang w:val="en-US"/>
        </w:rPr>
        <w:t xml:space="preserve"> .</w:t>
      </w:r>
      <w:r>
        <w:rPr>
          <w:rFonts w:ascii="Arial" w:hAnsi="Arial" w:eastAsia="Arial"/>
          <w:strike w:val="false"/>
          <w:color w:val="000000"/>
          <w:spacing w:val="0"/>
          <w:w w:val="100"/>
          <w:sz w:val="17"/>
          <w:vertAlign w:val="baseline"/>
          <w:lang w:val="en-US"/>
        </w:rPr>
        <w:t xml:space="preserve">1</w:t>
      </w:r>
    </w:p>
    <w:p>
      <w:pPr>
        <w:pageBreakBefore w:val="false"/>
        <w:spacing w:before="323"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Thus, a person acts with intent to cause serious physical injury to, or the death of, more than two persons when his or her conscious objective or purpose is to do so.</w:t>
      </w:r>
    </w:p>
    <w:p>
      <w:pPr>
        <w:pageBreakBefore w:val="false"/>
        <w:spacing w:before="330" w:after="385" w:line="323"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w:t>
      </w:r>
    </w:p>
    <w:p>
      <w:pPr>
        <w:pageBreakBefore w:val="false"/>
        <w:spacing w:before="260" w:after="0" w:line="276" w:lineRule="exact"/>
        <w:ind w:right="0" w:left="0" w:firstLine="0"/>
        <w:jc w:val="both"/>
        <w:textAlignment w:val="baseline"/>
        <w:rPr>
          <w:rFonts w:ascii="Times New Roman" w:hAnsi="Times New Roman" w:eastAsia="Times New Roman"/>
          <w:strike w:val="false"/>
          <w:color w:val="000000"/>
          <w:spacing w:val="-3"/>
          <w:w w:val="100"/>
          <w:sz w:val="13"/>
          <w:vertAlign w:val="superscript"/>
          <w:lang w:val="en-US"/>
        </w:rPr>
      </w:pPr>
      <w:r>
        <w:pict>
          <v:line strokeweight="1.2pt" strokecolor="#000000" from="108pt,612.25pt" to="252.05pt,612.25pt" style="position:absolute;mso-position-horizontal-relative:page;mso-position-vertical-relative:page;">
            <v:stroke dashstyle="solid"/>
          </v:line>
        </w:pict>
      </w:r>
      <w:r>
        <w:rPr>
          <w:rFonts w:ascii="Times New Roman" w:hAnsi="Times New Roman" w:eastAsia="Times New Roman"/>
          <w:strike w:val="false"/>
          <w:color w:val="000000"/>
          <w:spacing w:val="-3"/>
          <w:w w:val="100"/>
          <w:sz w:val="13"/>
          <w:vertAlign w:val="superscript"/>
          <w:lang w:val="en-US"/>
        </w:rPr>
        <w:t xml:space="preserve">1</w:t>
      </w:r>
      <w:r>
        <w:rPr>
          <w:rFonts w:ascii="Arial" w:hAnsi="Arial" w:eastAsia="Arial"/>
          <w:i w:val="true"/>
          <w:strike w:val="false"/>
          <w:color w:val="000000"/>
          <w:spacing w:val="-3"/>
          <w:w w:val="100"/>
          <w:sz w:val="24"/>
          <w:vertAlign w:val="baseline"/>
          <w:lang w:val="en-US"/>
        </w:rPr>
        <w:t xml:space="preserve"> See </w:t>
      </w:r>
      <w:r>
        <w:rPr>
          <w:rFonts w:ascii="Arial" w:hAnsi="Arial" w:eastAsia="Arial"/>
          <w:strike w:val="false"/>
          <w:color w:val="000000"/>
          <w:spacing w:val="-3"/>
          <w:w w:val="100"/>
          <w:sz w:val="24"/>
          <w:vertAlign w:val="baseline"/>
          <w:lang w:val="en-US"/>
        </w:rPr>
        <w:t xml:space="preserve">Penal Law § 490.05(15) which refers to “a chemical weapon which has been identified in regulations promulgated pursuant to subdivision twenty of section two hundred six of the public health law.” ” If “chemical weapon” is at issue, the charge should be expanded by adding the applicable definition set forth in Penal Law § 490.05(10).</w:t>
      </w:r>
    </w:p>
    <w:p>
      <w:pPr>
        <w:pageBreakBefore w:val="false"/>
        <w:spacing w:before="242" w:after="0" w:line="294" w:lineRule="exact"/>
        <w:ind w:right="0" w:left="0" w:firstLine="0"/>
        <w:jc w:val="left"/>
        <w:textAlignment w:val="baseline"/>
        <w:rPr>
          <w:rFonts w:ascii="Times New Roman" w:hAnsi="Times New Roman" w:eastAsia="Times New Roman"/>
          <w:strike w:val="false"/>
          <w:color w:val="000000"/>
          <w:spacing w:val="3"/>
          <w:w w:val="100"/>
          <w:sz w:val="13"/>
          <w:vertAlign w:val="superscript"/>
          <w:lang w:val="en-US"/>
        </w:rPr>
      </w:pPr>
      <w:r>
        <w:rPr>
          <w:rFonts w:ascii="Times New Roman" w:hAnsi="Times New Roman" w:eastAsia="Times New Roman"/>
          <w:strike w:val="false"/>
          <w:color w:val="000000"/>
          <w:spacing w:val="3"/>
          <w:w w:val="100"/>
          <w:sz w:val="13"/>
          <w:vertAlign w:val="superscript"/>
          <w:lang w:val="en-US"/>
        </w:rPr>
        <w:t xml:space="preserve">2</w:t>
      </w:r>
      <w:r>
        <w:rPr>
          <w:rFonts w:ascii="Tahoma" w:hAnsi="Tahoma" w:eastAsia="Tahoma"/>
          <w:i w:val="true"/>
          <w:strike w:val="false"/>
          <w:color w:val="000000"/>
          <w:spacing w:val="3"/>
          <w:w w:val="100"/>
          <w:sz w:val="26"/>
          <w:vertAlign w:val="baseline"/>
          <w:lang w:val="en-US"/>
        </w:rPr>
        <w:t xml:space="preserve"> See </w:t>
      </w:r>
      <w:r>
        <w:rPr>
          <w:rFonts w:ascii="Tahoma" w:hAnsi="Tahoma" w:eastAsia="Tahoma"/>
          <w:strike w:val="false"/>
          <w:color w:val="000000"/>
          <w:spacing w:val="3"/>
          <w:w w:val="100"/>
          <w:sz w:val="24"/>
          <w:vertAlign w:val="baseline"/>
          <w:lang w:val="en-US"/>
        </w:rPr>
        <w:t xml:space="preserve">Penal Law § 15.05(1).</w:t>
      </w:r>
    </w:p>
    <w:p>
      <w:pPr>
        <w:sectPr>
          <w:type w:val="nextPage"/>
          <w:pgSz w:w="12240" w:h="15840" w:orient="portrait"/>
          <w:pgMar w:bottom="1004" w:top="1440" w:right="2140" w:left="2160" w:header="720" w:footer="720"/>
          <w:titlePg w:val="false"/>
          <w:textDirection w:val="lrTb"/>
        </w:sectPr>
      </w:pPr>
    </w:p>
    <w:p>
      <w:pPr>
        <w:pageBreakBefore w:val="false"/>
        <w:spacing w:before="45"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 impairment of the function of any bodily organ.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0"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33" w:after="0" w:line="315" w:lineRule="exact"/>
        <w:ind w:right="0" w:left="1440" w:hanging="72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That on or about </w:t>
      </w:r>
      <w:r>
        <w:rPr>
          <w:rFonts w:ascii="Arial" w:hAnsi="Arial" w:eastAsia="Arial"/>
          <w:i w:val="true"/>
          <w:strike w:val="false"/>
          <w:color w:val="000000"/>
          <w:spacing w:val="-5"/>
          <w:w w:val="100"/>
          <w:sz w:val="23"/>
          <w:u w:val="single"/>
          <w:vertAlign w:val="baseline"/>
          <w:lang w:val="en-US"/>
        </w:rPr>
        <w:t xml:space="preserve"> (date) </w:t>
      </w:r>
      <w:r>
        <w:rPr>
          <w:rFonts w:ascii="Arial" w:hAnsi="Arial" w:eastAsia="Arial"/>
          <w:strike w:val="false"/>
          <w:color w:val="000000"/>
          <w:spacing w:val="-5"/>
          <w:w w:val="100"/>
          <w:sz w:val="28"/>
          <w:vertAlign w:val="baseline"/>
          <w:lang w:val="en-US"/>
        </w:rPr>
        <w:t xml:space="preserve"> , in the county of </w:t>
      </w:r>
      <w:r>
        <w:rPr>
          <w:rFonts w:ascii="Arial" w:hAnsi="Arial" w:eastAsia="Arial"/>
          <w:i w:val="true"/>
          <w:strike w:val="false"/>
          <w:color w:val="000000"/>
          <w:spacing w:val="-5"/>
          <w:w w:val="100"/>
          <w:sz w:val="23"/>
          <w:u w:val="single"/>
          <w:vertAlign w:val="baseline"/>
          <w:lang w:val="en-US"/>
        </w:rPr>
        <w:t xml:space="preserve"> (county) </w:t>
      </w:r>
      <w:r>
        <w:rPr>
          <w:rFonts w:ascii="Arial" w:hAnsi="Arial" w:eastAsia="Arial"/>
          <w:strike w:val="false"/>
          <w:color w:val="000000"/>
          <w:spacing w:val="-5"/>
          <w:w w:val="100"/>
          <w:sz w:val="28"/>
          <w:vertAlign w:val="baseline"/>
          <w:lang w:val="en-US"/>
        </w:rPr>
        <w:t xml:space="preserve"> , the</w:t>
      </w:r>
    </w:p>
    <w:p>
      <w:pPr>
        <w:pageBreakBefore w:val="false"/>
        <w:tabs>
          <w:tab w:val="left" w:leader="none" w:pos="3240"/>
          <w:tab w:val="right" w:leader="none" w:pos="7920"/>
        </w:tabs>
        <w:spacing w:before="1" w:after="0" w:line="321"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defendant, </w:t>
      </w:r>
      <w:r>
        <w:rPr>
          <w:rFonts w:ascii="Arial" w:hAnsi="Arial" w:eastAsia="Arial"/>
          <w:i w:val="true"/>
          <w:strike w:val="false"/>
          <w:color w:val="000000"/>
          <w:spacing w:val="0"/>
          <w:w w:val="100"/>
          <w:sz w:val="23"/>
          <w:u w:val="single"/>
          <w:vertAlign w:val="baseline"/>
          <w:lang w:val="en-US"/>
        </w:rPr>
        <w:tab/>
      </w:r>
      <w:r>
        <w:rPr>
          <w:rFonts w:ascii="Arial" w:hAnsi="Arial" w:eastAsia="Arial"/>
          <w:i w:val="true"/>
          <w:strike w:val="false"/>
          <w:color w:val="000000"/>
          <w:spacing w:val="0"/>
          <w:w w:val="100"/>
          <w:sz w:val="23"/>
          <w:u w:val="single"/>
          <w:vertAlign w:val="baseline"/>
          <w:lang w:val="en-US"/>
        </w:rPr>
        <w:t xml:space="preserve">(defendant's name) </w:t>
      </w:r>
      <w:r>
        <w:rPr>
          <w:rFonts w:ascii="Arial" w:hAnsi="Arial" w:eastAsia="Arial"/>
          <w:strike w:val="false"/>
          <w:color w:val="000000"/>
          <w:spacing w:val="0"/>
          <w:w w:val="100"/>
          <w:sz w:val="28"/>
          <w:vertAlign w:val="baseline"/>
          <w:lang w:val="en-US"/>
        </w:rPr>
        <w:tab/>
      </w:r>
      <w:r>
        <w:rPr>
          <w:rFonts w:ascii="Arial" w:hAnsi="Arial" w:eastAsia="Arial"/>
          <w:strike w:val="false"/>
          <w:color w:val="000000"/>
          <w:spacing w:val="0"/>
          <w:w w:val="100"/>
          <w:sz w:val="28"/>
          <w:vertAlign w:val="baseline"/>
          <w:lang w:val="en-US"/>
        </w:rPr>
        <w:t xml:space="preserve">used, deployed,</w:t>
        <w:br/>
      </w:r>
      <w:r>
        <w:rPr>
          <w:rFonts w:ascii="Arial" w:hAnsi="Arial" w:eastAsia="Arial"/>
          <w:strike w:val="false"/>
          <w:color w:val="000000"/>
          <w:spacing w:val="0"/>
          <w:w w:val="100"/>
          <w:sz w:val="28"/>
          <w:vertAlign w:val="baseline"/>
          <w:lang w:val="en-US"/>
        </w:rPr>
        <w:t xml:space="preserve">released, or caused to be used, deployed, or</w:t>
      </w:r>
    </w:p>
    <w:p>
      <w:pPr>
        <w:pageBreakBefore w:val="false"/>
        <w:spacing w:before="12" w:after="0" w:line="315"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released, any select chemical agent;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cause serious physical injury to, or the death of, more than two persons;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thereby caused serious physical injury to, or the death of, more than two persons who were not participants in the crime.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3468"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3468" w:line="324" w:lineRule="exact"/>
        <w:sectPr>
          <w:type w:val="nextPage"/>
          <w:pgSz w:w="12240" w:h="15840" w:orient="portrait"/>
          <w:pgMar w:bottom="1024" w:top="1400" w:right="2142" w:left="2158" w:header="720" w:footer="720"/>
          <w:titlePg w:val="false"/>
          <w:textDirection w:val="lrTb"/>
        </w:sectPr>
      </w:pPr>
    </w:p>
    <w:p>
      <w:pPr>
        <w:pageBreakBefore w:val="false"/>
        <w:spacing w:before="258" w:after="0" w:line="276" w:lineRule="exact"/>
        <w:ind w:right="0" w:left="0" w:firstLine="0"/>
        <w:jc w:val="left"/>
        <w:textAlignment w:val="baseline"/>
        <w:rPr>
          <w:rFonts w:ascii="Times New Roman" w:hAnsi="Times New Roman" w:eastAsia="Times New Roman"/>
          <w:strike w:val="false"/>
          <w:color w:val="000000"/>
          <w:spacing w:val="0"/>
          <w:w w:val="100"/>
          <w:sz w:val="13"/>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3.4pt;height:13.25pt;z-index:-1000;margin-left:299.05pt;margin-top:706.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txbxContent>
            </v:textbox>
          </v:shape>
        </w:pict>
      </w:r>
      <w:r>
        <w:pict>
          <v:line strokeweight="0.95pt" strokecolor="#000000" from="107.9pt,667.9pt" to="252.05pt,667.9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3"/>
          <w:vertAlign w:val="superscript"/>
          <w:lang w:val="en-US"/>
        </w:rPr>
        <w:t xml:space="preserve">3</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10.00(10).</w:t>
      </w:r>
    </w:p>
    <w:sectPr>
      <w:type w:val="continuous"/>
      <w:pgSz w:w="12240" w:h="15840" w:orient="portrait"/>
      <w:pgMar w:bottom="1024" w:top="1400" w:right="6840" w:left="215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5"/>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