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USE OF A CHEMICAL WEAPON</w:t>
        <w:br/>
      </w:r>
      <w:r>
        <w:rPr>
          <w:rFonts w:ascii="Arial" w:hAnsi="Arial" w:eastAsia="Arial"/>
          <w:b w:val="true"/>
          <w:strike w:val="false"/>
          <w:color w:val="000000"/>
          <w:spacing w:val="0"/>
          <w:w w:val="100"/>
          <w:sz w:val="28"/>
          <w:vertAlign w:val="baseline"/>
          <w:lang w:val="en-US"/>
        </w:rPr>
        <w:t xml:space="preserve">OR BIOLOGICAL WEAPON IN THE FIRST DEGREE</w:t>
        <w:br/>
      </w:r>
      <w:r>
        <w:rPr>
          <w:rFonts w:ascii="Arial" w:hAnsi="Arial" w:eastAsia="Arial"/>
          <w:b w:val="true"/>
          <w:strike w:val="false"/>
          <w:color w:val="000000"/>
          <w:spacing w:val="0"/>
          <w:w w:val="100"/>
          <w:sz w:val="28"/>
          <w:vertAlign w:val="baseline"/>
          <w:lang w:val="en-US"/>
        </w:rPr>
        <w:t xml:space="preserve">Penal Law § 490.55(1)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Use of a Chemical Weapon or Biological Weapon in the First Degree.</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Use of a Chemical Weapon or Biological Weapon in the First Degree when with intent to cause serious physical injury to, or the death of, another person and</w:t>
      </w:r>
    </w:p>
    <w:p>
      <w:pPr>
        <w:pageBreakBefore w:val="false"/>
        <w:spacing w:before="5" w:after="0" w:line="643"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</w:t>
        <w:br/>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6"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w:t>
      </w:r>
    </w:p>
    <w:p>
      <w:pPr>
        <w:pageBreakBefore w:val="false"/>
        <w:spacing w:before="330"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w:t>
      </w:r>
    </w:p>
    <w:p>
      <w:pPr>
        <w:pageBreakBefore w:val="false"/>
        <w:spacing w:before="326"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 or she uses, deploys, releases, or causes to be used, deployed, or released any select chemical agent and thereby causes serious physical injury to, or the death of, another person who is not a participant in the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1" w:after="0" w:line="317"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SELECT CHEMICAL AGENT means an identified chemical</w:t>
      </w:r>
    </w:p>
    <w:p>
      <w:pPr>
        <w:sectPr>
          <w:type w:val="nextPage"/>
          <w:pgSz w:w="12240" w:h="15840" w:orient="portrait"/>
          <w:pgMar w:bottom="3264" w:top="1440" w:right="2140" w:left="2160" w:header="720" w:footer="0"/>
          <w:titlePg w:val="false"/>
          <w:textDirection w:val="lrTb"/>
        </w:sectPr>
      </w:pPr>
    </w:p>
    <w:p>
      <w:pPr>
        <w:pageBreakBefore w:val="false"/>
        <w:spacing w:before="43"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1</w:t>
      </w:r>
    </w:p>
    <w:p>
      <w:pPr>
        <w:pageBreakBefore w:val="false"/>
        <w:spacing w:before="32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cause serious physical injury to, or the death of, another person and</w:t>
      </w:r>
    </w:p>
    <w:p>
      <w:pPr>
        <w:pageBreakBefore w:val="false"/>
        <w:spacing w:before="5" w:after="0" w:line="643"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</w:t>
        <w:br/>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1"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w:t>
      </w:r>
    </w:p>
    <w:p>
      <w:pPr>
        <w:pageBreakBefore w:val="false"/>
        <w:spacing w:before="317"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w:t>
      </w:r>
    </w:p>
    <w:p>
      <w:pPr>
        <w:pageBreakBefore w:val="false"/>
        <w:spacing w:before="332"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his or her conscious objective or purpose is to do so.</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332" w:after="352" w:line="31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261" w:after="0" w:line="277"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pict>
          <v:line strokeweight="1.2pt" strokecolor="#000000" from="108pt,560.15pt" to="252.05pt,560.15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3"/>
          <w:vertAlign w:val="superscript"/>
          <w:lang w:val="en-US"/>
        </w:rPr>
        <w:t xml:space="preserve">1</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If “chemical weapon” is at issue, the charge should be expanded by adding the applicable definition set forth in Penal Law § 490.05(10).</w:t>
      </w:r>
    </w:p>
    <w:p>
      <w:pPr>
        <w:pageBreakBefore w:val="false"/>
        <w:spacing w:before="236"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2</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pageBreakBefore w:val="false"/>
        <w:spacing w:before="236" w:after="0" w:line="277" w:lineRule="exact"/>
        <w:ind w:right="0" w:left="0"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3</w:t>
      </w:r>
      <w:r>
        <w:rPr>
          <w:rFonts w:ascii="Arial" w:hAnsi="Arial" w:eastAsia="Arial"/>
          <w:i w:val="true"/>
          <w:strike w:val="false"/>
          <w:color w:val="000000"/>
          <w:spacing w:val="2"/>
          <w:w w:val="100"/>
          <w:sz w:val="24"/>
          <w:vertAlign w:val="baseline"/>
          <w:lang w:val="en-US"/>
        </w:rPr>
        <w:t xml:space="preserve"> See </w:t>
      </w:r>
      <w:r>
        <w:rPr>
          <w:rFonts w:ascii="Arial" w:hAnsi="Arial" w:eastAsia="Arial"/>
          <w:strike w:val="false"/>
          <w:color w:val="000000"/>
          <w:spacing w:val="2"/>
          <w:w w:val="100"/>
          <w:sz w:val="24"/>
          <w:vertAlign w:val="baseline"/>
          <w:lang w:val="en-US"/>
        </w:rPr>
        <w:t xml:space="preserve">Penal Law § 10.00(10).</w:t>
      </w:r>
    </w:p>
    <w:p>
      <w:pPr>
        <w:sectPr>
          <w:footerReference w:type="default" r:id="fId0"/>
          <w:type w:val="nextPage"/>
          <w:pgSz w:w="12240" w:h="15840" w:orient="portrait"/>
          <w:pgMar w:bottom="1307" w:top="1400" w:right="2140" w:left="2160" w:header="720" w:footer="1494"/>
          <w:titlePg w:val="false"/>
          <w:textDirection w:val="lrTb"/>
        </w:sectPr>
      </w:pPr>
    </w:p>
    <w:p>
      <w:pPr>
        <w:pageBreakBefore w:val="false"/>
        <w:tabs>
          <w:tab w:val="left" w:leader="none" w:pos="3240"/>
          <w:tab w:val="right" w:leader="none" w:pos="7920"/>
        </w:tabs>
        <w:spacing w:before="8"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ab/>
      </w:r>
      <w:r>
        <w:rPr>
          <w:rFonts w:ascii="Arial" w:hAnsi="Arial" w:eastAsia="Arial"/>
          <w:i w:val="true"/>
          <w:strike w:val="false"/>
          <w:color w:val="000000"/>
          <w:spacing w:val="0"/>
          <w:w w:val="100"/>
          <w:sz w:val="23"/>
          <w:u w:val="single"/>
          <w:vertAlign w:val="baseline"/>
          <w:lang w:val="en-US"/>
        </w:rPr>
        <w:t xml:space="preserve">(defendant's name)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used, deployed,</w:t>
      </w:r>
    </w:p>
    <w:p>
      <w:pPr>
        <w:pageBreakBefore w:val="false"/>
        <w:spacing w:before="1"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released, or caused to be used, deployed, or released, a select chemical agent; and</w:t>
      </w:r>
    </w:p>
    <w:p>
      <w:pPr>
        <w:pageBreakBefore w:val="false"/>
        <w:numPr>
          <w:ilvl w:val="0"/>
          <w:numId w:val="1"/>
        </w:numPr>
        <w:tabs>
          <w:tab w:val="clear" w:pos="720"/>
          <w:tab w:val="left" w:pos="1440"/>
        </w:tabs>
        <w:spacing w:before="326" w:after="0" w:line="322"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did so with intent to cause serious physical injury to, or the death of another person; and</w:t>
      </w:r>
    </w:p>
    <w:p>
      <w:pPr>
        <w:pageBreakBefore w:val="false"/>
        <w:spacing w:before="333" w:after="0" w:line="319"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p>
    <w:p>
      <w:pPr>
        <w:pageBreakBefore w:val="false"/>
        <w:spacing w:before="329"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7" w:after="0" w:line="321"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w:t>
      </w:r>
    </w:p>
    <w:p>
      <w:pPr>
        <w:pageBreakBefore w:val="false"/>
        <w:spacing w:before="321"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 and</w:t>
      </w:r>
    </w:p>
    <w:p>
      <w:pPr>
        <w:pageBreakBefore w:val="false"/>
        <w:numPr>
          <w:ilvl w:val="0"/>
          <w:numId w:val="2"/>
        </w:numPr>
        <w:tabs>
          <w:tab w:val="clear" w:pos="720"/>
          <w:tab w:val="left" w:pos="1440"/>
        </w:tabs>
        <w:spacing w:before="318" w:after="0" w:line="326"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caused serious physical injury to, or the death of, another person who was not a participant in the crime.</w:t>
      </w:r>
    </w:p>
    <w:p>
      <w:pPr>
        <w:pageBreakBefore w:val="false"/>
        <w:spacing w:before="328" w:after="0" w:line="32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40" w:left="2160"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4"/>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