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PRESUMPTION OF POSSESSION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FROM PRESENCE OF WEAPON IN STOLEN VEHICLE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265.15(2)</w:t>
      </w:r>
    </w:p>
    <w:p>
      <w:pPr>
        <w:pageBreakBefore w:val="false"/>
        <w:spacing w:before="269" w:after="6662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Under our law, the presence in any stolen vehicle of a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(specify) </w:t>
      </w:r>
      <w:r>
        <w:rPr>
          <w:rFonts w:ascii="Arial" w:hAnsi="Arial" w:eastAsia="Arial"/>
          <w:color w:val="000000"/>
          <w:spacing w:val="-3"/>
          <w:w w:val="100"/>
          <w:sz w:val="23"/>
          <w:vertAlign w:val="superscript"/>
          <w:lang w:val="en-US"/>
        </w:rPr>
        <w:t xml:space="preserve"> 1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is presumptive evidence of its possession by all persons occupying such vehicle at the time such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is found. What this means that, if the People have proven beyond a reasonable doubt that the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was found in a stolen vehicle and that the defendant was occupying the stolen vehicle at the time that the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(specify)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was found, then you may, but you are not required to, infer from those facts that the defendant possessed the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(specify)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. </w:t>
      </w:r>
      <w:r>
        <w:rPr>
          <w:rFonts w:ascii="Arial" w:hAnsi="Arial" w:eastAsia="Arial"/>
          <w:color w:val="000000"/>
          <w:spacing w:val="-3"/>
          <w:w w:val="100"/>
          <w:sz w:val="26"/>
          <w:vertAlign w:val="baseline"/>
          <w:lang w:val="en-US"/>
        </w:rPr>
        <w:t xml:space="preserve">Whether or not to draw that inference is for you to decide and will depend entirely on your evaluation of the evidence.</w:t>
      </w:r>
      <w:r>
        <w:rPr>
          <w:rFonts w:ascii="Arial" w:hAnsi="Arial" w:eastAsia="Arial"/>
          <w:color w:val="000000"/>
          <w:spacing w:val="-3"/>
          <w:w w:val="100"/>
          <w:sz w:val="26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-3"/>
          <w:w w:val="100"/>
          <w:sz w:val="16"/>
          <w:vertAlign w:val="baseline"/>
          <w:lang w:val="en-US"/>
        </w:rPr>
        <w:t xml:space="preserve">
</w:t>
      </w:r>
    </w:p>
    <w:p>
      <w:pPr>
        <w:spacing w:before="269" w:after="6662" w:line="324" w:lineRule="exact"/>
        <w:sectPr>
          <w:type w:val="nextPage"/>
          <w:pgSz w:w="12240" w:h="15840" w:orient="portrait"/>
          <w:pgMar w:bottom="102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248" w:after="0" w:line="259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13"/>
          <w:vertAlign w:val="superscript"/>
          <w:lang w:val="en-US"/>
        </w:rPr>
      </w:pPr>
      <w:r>
        <w:pict>
          <v:line strokeweight="0.95pt" strokecolor="#000000" from="108pt,631.7pt" to="252.05pt,631.7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color w:val="000000"/>
          <w:spacing w:val="0"/>
          <w:w w:val="100"/>
          <w:sz w:val="13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 The statute provides that this presumption applies to "any weapon, instrument, appliance, or substance specified in sections 265.01, 265.02, 265.03, 265.04 and 265.05."</w:t>
      </w:r>
    </w:p>
    <w:p>
      <w:pPr>
        <w:pageBreakBefore w:val="false"/>
        <w:spacing w:before="235" w:after="0" w:line="259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13"/>
          <w:vertAlign w:val="superscript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13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 In 2019, the last sentence was added to conform to the instruction for presumptions in other sections.</w:t>
      </w:r>
    </w:p>
    <w:sectPr>
      <w:type w:val="continuous"/>
      <w:pgSz w:w="12240" w:h="15840" w:orient="portrait"/>
      <w:pgMar w:bottom="1024" w:top="1440" w:right="2140" w:left="216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