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271E" w14:textId="77777777" w:rsidR="00FF38B9" w:rsidRPr="00BA72A6" w:rsidRDefault="00FF38B9">
      <w:pPr>
        <w:tabs>
          <w:tab w:val="center" w:pos="3960"/>
        </w:tabs>
        <w:rPr>
          <w:rFonts w:ascii="Arial" w:eastAsia="Yu Gothic UI" w:hAnsi="Arial" w:cs="Arial"/>
          <w:b/>
          <w:bCs/>
          <w:sz w:val="28"/>
          <w:szCs w:val="28"/>
        </w:rPr>
      </w:pPr>
      <w:r w:rsidRPr="00BA72A6">
        <w:rPr>
          <w:rFonts w:ascii="Arial" w:eastAsia="Yu Gothic UI" w:hAnsi="Arial" w:cs="Arial"/>
          <w:b/>
          <w:bCs/>
          <w:sz w:val="28"/>
          <w:szCs w:val="28"/>
        </w:rPr>
        <w:tab/>
        <w:t>CRIMINAL POSSESSION OF A WEAPON</w:t>
      </w:r>
    </w:p>
    <w:p w14:paraId="6837543B" w14:textId="77777777" w:rsidR="00FF38B9" w:rsidRPr="00BA72A6" w:rsidRDefault="00FF38B9">
      <w:pPr>
        <w:tabs>
          <w:tab w:val="center" w:pos="3960"/>
        </w:tabs>
        <w:rPr>
          <w:rFonts w:ascii="Arial" w:eastAsia="Yu Gothic UI" w:hAnsi="Arial" w:cs="Arial"/>
          <w:b/>
          <w:bCs/>
          <w:sz w:val="28"/>
          <w:szCs w:val="28"/>
        </w:rPr>
      </w:pPr>
      <w:r w:rsidRPr="00BA72A6">
        <w:rPr>
          <w:rFonts w:ascii="Arial" w:eastAsia="Yu Gothic UI" w:hAnsi="Arial" w:cs="Arial"/>
          <w:b/>
          <w:bCs/>
          <w:sz w:val="28"/>
          <w:szCs w:val="28"/>
        </w:rPr>
        <w:tab/>
        <w:t>IN THE SECOND DEGREE</w:t>
      </w:r>
    </w:p>
    <w:p w14:paraId="2DA74D53" w14:textId="77777777" w:rsidR="00FF38B9" w:rsidRPr="00BA72A6" w:rsidRDefault="00FF38B9">
      <w:pPr>
        <w:jc w:val="center"/>
        <w:rPr>
          <w:rFonts w:ascii="Arial" w:eastAsia="Yu Gothic UI" w:hAnsi="Arial" w:cs="Arial"/>
          <w:b/>
          <w:bCs/>
          <w:sz w:val="28"/>
          <w:szCs w:val="28"/>
        </w:rPr>
      </w:pPr>
      <w:r w:rsidRPr="00BA72A6">
        <w:rPr>
          <w:rFonts w:ascii="Arial" w:eastAsia="Yu Gothic UI" w:hAnsi="Arial" w:cs="Arial"/>
          <w:b/>
          <w:bCs/>
          <w:sz w:val="28"/>
          <w:szCs w:val="28"/>
        </w:rPr>
        <w:t xml:space="preserve">(Possession of Loaded Firearm) </w:t>
      </w:r>
    </w:p>
    <w:p w14:paraId="064E4697" w14:textId="77777777" w:rsidR="00FF38B9" w:rsidRPr="00BA72A6" w:rsidRDefault="00FF38B9">
      <w:pPr>
        <w:jc w:val="center"/>
        <w:rPr>
          <w:rFonts w:ascii="Arial" w:eastAsia="Yu Gothic UI" w:hAnsi="Arial" w:cs="Arial"/>
          <w:b/>
          <w:bCs/>
          <w:sz w:val="28"/>
          <w:szCs w:val="28"/>
        </w:rPr>
      </w:pPr>
      <w:r w:rsidRPr="00BA72A6">
        <w:rPr>
          <w:rFonts w:ascii="Arial" w:eastAsia="Yu Gothic UI" w:hAnsi="Arial" w:cs="Arial"/>
          <w:b/>
          <w:bCs/>
          <w:sz w:val="28"/>
          <w:szCs w:val="28"/>
        </w:rPr>
        <w:t>(In Home or Business with Prior Conviction</w:t>
      </w:r>
      <w:r w:rsidRPr="00BA72A6">
        <w:rPr>
          <w:rStyle w:val="FootnoteReference"/>
          <w:rFonts w:ascii="Arial" w:eastAsia="Yu Gothic UI" w:hAnsi="Arial" w:cs="Arial"/>
          <w:b/>
          <w:bCs/>
          <w:sz w:val="28"/>
          <w:szCs w:val="28"/>
          <w:vertAlign w:val="superscript"/>
        </w:rPr>
        <w:footnoteReference w:id="1"/>
      </w:r>
      <w:r w:rsidRPr="00BA72A6">
        <w:rPr>
          <w:rFonts w:ascii="Arial" w:eastAsia="Yu Gothic UI" w:hAnsi="Arial" w:cs="Arial"/>
          <w:b/>
          <w:bCs/>
          <w:sz w:val="28"/>
          <w:szCs w:val="28"/>
        </w:rPr>
        <w:t xml:space="preserve">) </w:t>
      </w:r>
    </w:p>
    <w:p w14:paraId="03F6D5BE" w14:textId="77777777" w:rsidR="00FF38B9" w:rsidRPr="00BA72A6" w:rsidRDefault="00FF38B9">
      <w:pPr>
        <w:tabs>
          <w:tab w:val="center" w:pos="3960"/>
        </w:tabs>
        <w:rPr>
          <w:rFonts w:ascii="Arial" w:eastAsia="Yu Gothic UI" w:hAnsi="Arial" w:cs="Arial"/>
          <w:b/>
          <w:bCs/>
          <w:sz w:val="28"/>
          <w:szCs w:val="28"/>
        </w:rPr>
      </w:pPr>
      <w:r w:rsidRPr="00BA72A6">
        <w:rPr>
          <w:rFonts w:ascii="Arial" w:eastAsia="Yu Gothic UI" w:hAnsi="Arial" w:cs="Arial"/>
          <w:b/>
          <w:bCs/>
          <w:sz w:val="28"/>
          <w:szCs w:val="28"/>
        </w:rPr>
        <w:tab/>
        <w:t xml:space="preserve">Penal Law </w:t>
      </w:r>
      <w:r w:rsidRPr="00BA72A6">
        <w:rPr>
          <w:rFonts w:ascii="Arial" w:eastAsia="Yu Gothic UI" w:hAnsi="Arial" w:cs="Arial"/>
          <w:b/>
          <w:bCs/>
          <w:sz w:val="28"/>
          <w:szCs w:val="28"/>
        </w:rPr>
        <w:sym w:font="WP TypographicSymbols" w:char="0027"/>
      </w:r>
      <w:r w:rsidRPr="00BA72A6">
        <w:rPr>
          <w:rFonts w:ascii="Arial" w:eastAsia="Yu Gothic UI" w:hAnsi="Arial" w:cs="Arial"/>
          <w:b/>
          <w:bCs/>
          <w:sz w:val="28"/>
          <w:szCs w:val="28"/>
        </w:rPr>
        <w:t xml:space="preserve"> 265.03 (3)</w:t>
      </w:r>
    </w:p>
    <w:p w14:paraId="2F72870F" w14:textId="77777777" w:rsidR="00FF38B9" w:rsidRDefault="00FF38B9">
      <w:pPr>
        <w:tabs>
          <w:tab w:val="center" w:pos="3960"/>
        </w:tabs>
        <w:rPr>
          <w:rFonts w:ascii="Arial" w:eastAsia="Yu Gothic UI" w:hAnsi="Arial" w:cs="Arial"/>
          <w:sz w:val="28"/>
          <w:szCs w:val="28"/>
        </w:rPr>
      </w:pPr>
      <w:r w:rsidRPr="00BA72A6">
        <w:rPr>
          <w:rFonts w:ascii="Arial" w:eastAsia="Yu Gothic UI" w:hAnsi="Arial" w:cs="Arial"/>
          <w:b/>
          <w:bCs/>
          <w:sz w:val="28"/>
          <w:szCs w:val="28"/>
        </w:rPr>
        <w:tab/>
        <w:t>(Committed on or after Nov. 1, 2006)</w:t>
      </w:r>
      <w:r w:rsidRPr="00BA72A6">
        <w:rPr>
          <w:rStyle w:val="FootnoteReference"/>
          <w:rFonts w:ascii="Arial" w:eastAsia="Yu Gothic UI" w:hAnsi="Arial" w:cs="Arial"/>
          <w:sz w:val="28"/>
          <w:szCs w:val="28"/>
          <w:vertAlign w:val="superscript"/>
        </w:rPr>
        <w:footnoteReference w:id="2"/>
      </w:r>
      <w:r w:rsidRPr="00BA72A6">
        <w:rPr>
          <w:rFonts w:ascii="Arial" w:eastAsia="Yu Gothic UI" w:hAnsi="Arial" w:cs="Arial"/>
          <w:sz w:val="28"/>
          <w:szCs w:val="28"/>
        </w:rPr>
        <w:t xml:space="preserve"> </w:t>
      </w:r>
    </w:p>
    <w:p w14:paraId="28CF42B5" w14:textId="2C7B6E94" w:rsidR="004211DF" w:rsidRPr="004211DF" w:rsidRDefault="004211DF" w:rsidP="004211DF">
      <w:pPr>
        <w:tabs>
          <w:tab w:val="center" w:pos="3960"/>
        </w:tabs>
        <w:jc w:val="center"/>
        <w:rPr>
          <w:rFonts w:ascii="Arial" w:eastAsia="Yu Gothic UI" w:hAnsi="Arial" w:cs="Arial"/>
          <w:sz w:val="22"/>
          <w:szCs w:val="22"/>
        </w:rPr>
      </w:pPr>
      <w:r w:rsidRPr="004211DF">
        <w:rPr>
          <w:rFonts w:ascii="Arial" w:eastAsia="Yu Gothic UI" w:hAnsi="Arial" w:cs="Arial"/>
          <w:sz w:val="22"/>
          <w:szCs w:val="22"/>
        </w:rPr>
        <w:t>(Revised Dec 2022)</w:t>
      </w:r>
      <w:r w:rsidR="004E6739" w:rsidRPr="00CF182A">
        <w:rPr>
          <w:rStyle w:val="FootnoteReference"/>
          <w:rFonts w:ascii="Arial" w:eastAsia="Yu Gothic UI" w:hAnsi="Arial" w:cs="Arial"/>
          <w:sz w:val="22"/>
          <w:szCs w:val="22"/>
          <w:vertAlign w:val="superscript"/>
        </w:rPr>
        <w:footnoteReference w:id="3"/>
      </w:r>
    </w:p>
    <w:p w14:paraId="57B4044B" w14:textId="77777777" w:rsidR="00FF38B9" w:rsidRPr="00BA72A6" w:rsidRDefault="00FF38B9">
      <w:pPr>
        <w:rPr>
          <w:rFonts w:ascii="Arial" w:eastAsia="Yu Gothic UI" w:hAnsi="Arial" w:cs="Arial"/>
          <w:sz w:val="28"/>
          <w:szCs w:val="28"/>
        </w:rPr>
      </w:pPr>
    </w:p>
    <w:p w14:paraId="301593C7" w14:textId="77777777" w:rsidR="00FF38B9" w:rsidRPr="00BA72A6" w:rsidRDefault="00FF38B9">
      <w:pPr>
        <w:ind w:firstLine="720"/>
        <w:jc w:val="both"/>
        <w:rPr>
          <w:rFonts w:ascii="Arial" w:eastAsia="Yu Gothic UI" w:hAnsi="Arial" w:cs="Arial"/>
          <w:sz w:val="28"/>
          <w:szCs w:val="28"/>
        </w:rPr>
      </w:pPr>
      <w:r w:rsidRPr="00BA72A6">
        <w:rPr>
          <w:rFonts w:ascii="Arial" w:hAnsi="Arial" w:cs="Arial"/>
          <w:sz w:val="28"/>
          <w:szCs w:val="28"/>
        </w:rPr>
        <w:t xml:space="preserve">The </w:t>
      </w:r>
      <w:r w:rsidRPr="00BA72A6">
        <w:rPr>
          <w:rFonts w:ascii="Arial" w:eastAsia="Yu Gothic UI" w:hAnsi="Arial" w:cs="Arial"/>
          <w:sz w:val="28"/>
          <w:szCs w:val="28"/>
        </w:rPr>
        <w:t>(</w:t>
      </w:r>
      <w:r w:rsidRPr="00BA72A6">
        <w:rPr>
          <w:rFonts w:ascii="Arial" w:eastAsia="Yu Gothic UI" w:hAnsi="Arial" w:cs="Arial"/>
          <w:i/>
          <w:iCs/>
          <w:sz w:val="28"/>
          <w:szCs w:val="28"/>
          <w:u w:val="single"/>
        </w:rPr>
        <w:t>specify</w:t>
      </w:r>
      <w:r w:rsidRPr="00BA72A6">
        <w:rPr>
          <w:rFonts w:ascii="Arial" w:eastAsia="Yu Gothic UI" w:hAnsi="Arial" w:cs="Arial"/>
          <w:sz w:val="28"/>
          <w:szCs w:val="28"/>
        </w:rPr>
        <w:t>)</w:t>
      </w:r>
      <w:r w:rsidRPr="00BA72A6">
        <w:rPr>
          <w:rFonts w:ascii="Arial" w:hAnsi="Arial" w:cs="Arial"/>
          <w:sz w:val="28"/>
          <w:szCs w:val="28"/>
        </w:rPr>
        <w:t xml:space="preserve"> count</w:t>
      </w:r>
      <w:r w:rsidRPr="00BA72A6">
        <w:rPr>
          <w:rFonts w:ascii="Arial" w:eastAsia="Yu Gothic UI" w:hAnsi="Arial" w:cs="Arial"/>
          <w:sz w:val="28"/>
          <w:szCs w:val="28"/>
        </w:rPr>
        <w:t xml:space="preserve"> is Criminal Possession of a Weapon in the Second Degree. </w:t>
      </w:r>
    </w:p>
    <w:p w14:paraId="46D30DAA" w14:textId="77777777" w:rsidR="00FF38B9" w:rsidRPr="00BA72A6" w:rsidRDefault="00FF38B9">
      <w:pPr>
        <w:jc w:val="both"/>
        <w:rPr>
          <w:rFonts w:ascii="Arial" w:eastAsia="Yu Gothic UI" w:hAnsi="Arial" w:cs="Arial"/>
          <w:sz w:val="28"/>
          <w:szCs w:val="28"/>
        </w:rPr>
      </w:pPr>
    </w:p>
    <w:p w14:paraId="44F87A8D" w14:textId="77777777" w:rsidR="00FF38B9" w:rsidRPr="00BA72A6" w:rsidRDefault="00FF38B9">
      <w:pPr>
        <w:ind w:firstLine="720"/>
        <w:jc w:val="both"/>
        <w:rPr>
          <w:rFonts w:ascii="Arial" w:eastAsia="Yu Gothic UI" w:hAnsi="Arial" w:cs="Arial"/>
          <w:sz w:val="28"/>
          <w:szCs w:val="28"/>
        </w:rPr>
      </w:pPr>
      <w:r w:rsidRPr="00BA72A6">
        <w:rPr>
          <w:rFonts w:ascii="Arial" w:eastAsia="Yu Gothic UI" w:hAnsi="Arial" w:cs="Arial"/>
          <w:sz w:val="28"/>
          <w:szCs w:val="28"/>
        </w:rPr>
        <w:t>Under our law, a person is guilty of Criminal Possession of a Weapon in the Second Degree when that person knowingly</w:t>
      </w:r>
      <w:r w:rsidRPr="00BA72A6">
        <w:rPr>
          <w:rStyle w:val="FootnoteReference"/>
          <w:rFonts w:ascii="Arial" w:eastAsia="Yu Gothic UI" w:hAnsi="Arial" w:cs="Arial"/>
          <w:sz w:val="28"/>
          <w:szCs w:val="28"/>
          <w:vertAlign w:val="superscript"/>
        </w:rPr>
        <w:footnoteReference w:id="4"/>
      </w:r>
      <w:r w:rsidRPr="00BA72A6">
        <w:rPr>
          <w:rFonts w:ascii="Arial" w:eastAsia="Yu Gothic UI" w:hAnsi="Arial" w:cs="Arial"/>
          <w:sz w:val="28"/>
          <w:szCs w:val="28"/>
        </w:rPr>
        <w:t xml:space="preserve"> possesses any loaded firearm. </w:t>
      </w:r>
    </w:p>
    <w:p w14:paraId="0B824C77" w14:textId="77777777" w:rsidR="00FF38B9" w:rsidRPr="00BA72A6" w:rsidRDefault="00FF38B9">
      <w:pPr>
        <w:jc w:val="both"/>
        <w:rPr>
          <w:rFonts w:ascii="Arial" w:eastAsia="Yu Gothic UI" w:hAnsi="Arial" w:cs="Arial"/>
          <w:sz w:val="28"/>
          <w:szCs w:val="28"/>
        </w:rPr>
      </w:pPr>
    </w:p>
    <w:p w14:paraId="20BC3185" w14:textId="77777777" w:rsidR="00FF38B9" w:rsidRPr="00BA72A6" w:rsidRDefault="00FF38B9">
      <w:pPr>
        <w:ind w:firstLine="720"/>
        <w:jc w:val="both"/>
        <w:rPr>
          <w:rFonts w:ascii="Arial" w:eastAsia="Yu Gothic UI" w:hAnsi="Arial" w:cs="Arial"/>
          <w:sz w:val="28"/>
          <w:szCs w:val="28"/>
        </w:rPr>
      </w:pPr>
      <w:r w:rsidRPr="00BA72A6">
        <w:rPr>
          <w:rFonts w:ascii="Arial" w:hAnsi="Arial" w:cs="Arial"/>
          <w:sz w:val="28"/>
          <w:szCs w:val="28"/>
        </w:rPr>
        <w:t>The following terms used in that definition have a special meaning:</w:t>
      </w:r>
    </w:p>
    <w:p w14:paraId="6EC48F4F" w14:textId="77777777" w:rsidR="00FF38B9" w:rsidRPr="00BA72A6" w:rsidRDefault="00FF38B9">
      <w:pPr>
        <w:jc w:val="both"/>
        <w:rPr>
          <w:rFonts w:ascii="Arial" w:eastAsia="Yu Gothic UI" w:hAnsi="Arial" w:cs="Arial"/>
          <w:sz w:val="28"/>
          <w:szCs w:val="28"/>
        </w:rPr>
      </w:pPr>
    </w:p>
    <w:p w14:paraId="05BABB4B" w14:textId="77777777" w:rsidR="00FF38B9" w:rsidRPr="00BA72A6" w:rsidRDefault="00FF38B9">
      <w:pPr>
        <w:ind w:firstLine="720"/>
        <w:jc w:val="both"/>
        <w:rPr>
          <w:rFonts w:ascii="Arial" w:eastAsia="Yu Gothic UI" w:hAnsi="Arial" w:cs="Arial"/>
          <w:sz w:val="28"/>
          <w:szCs w:val="28"/>
        </w:rPr>
      </w:pPr>
      <w:r w:rsidRPr="00BA72A6">
        <w:rPr>
          <w:rFonts w:ascii="Arial" w:eastAsia="Yu Gothic UI" w:hAnsi="Arial" w:cs="Arial"/>
          <w:sz w:val="28"/>
          <w:szCs w:val="28"/>
        </w:rPr>
        <w:t>A FIREARM means any pistol or revolver</w:t>
      </w:r>
      <w:r w:rsidRPr="00BA72A6">
        <w:rPr>
          <w:rFonts w:ascii="Arial" w:hAnsi="Arial" w:cs="Arial"/>
          <w:sz w:val="28"/>
          <w:szCs w:val="28"/>
        </w:rPr>
        <w:t>.</w:t>
      </w:r>
      <w:r w:rsidRPr="00BA72A6">
        <w:rPr>
          <w:rStyle w:val="FootnoteReference"/>
          <w:rFonts w:ascii="Arial" w:hAnsi="Arial" w:cs="Arial"/>
          <w:sz w:val="28"/>
          <w:szCs w:val="28"/>
          <w:vertAlign w:val="superscript"/>
        </w:rPr>
        <w:footnoteReference w:id="5"/>
      </w:r>
    </w:p>
    <w:p w14:paraId="67AFEDCE" w14:textId="77777777" w:rsidR="00FF38B9" w:rsidRPr="00BA72A6" w:rsidRDefault="00FF38B9">
      <w:pPr>
        <w:jc w:val="both"/>
        <w:rPr>
          <w:rFonts w:ascii="Arial" w:eastAsia="Yu Gothic UI" w:hAnsi="Arial" w:cs="Arial"/>
          <w:sz w:val="28"/>
          <w:szCs w:val="28"/>
        </w:rPr>
      </w:pPr>
    </w:p>
    <w:p w14:paraId="40EB0855" w14:textId="77777777" w:rsidR="00FF38B9" w:rsidRPr="00BA72A6" w:rsidRDefault="00FF38B9">
      <w:pPr>
        <w:ind w:firstLine="720"/>
        <w:jc w:val="both"/>
        <w:rPr>
          <w:rFonts w:ascii="Arial" w:eastAsia="Yu Gothic UI" w:hAnsi="Arial" w:cs="Arial"/>
          <w:sz w:val="28"/>
          <w:szCs w:val="28"/>
        </w:rPr>
      </w:pPr>
      <w:r w:rsidRPr="00BA72A6">
        <w:rPr>
          <w:rFonts w:ascii="Arial" w:eastAsia="Yu Gothic UI" w:hAnsi="Arial" w:cs="Arial"/>
          <w:sz w:val="28"/>
          <w:szCs w:val="28"/>
        </w:rPr>
        <w:t>A LOADED FIREARM means any firearm loaded with ammunition which may be used to discharge such firearm [</w:t>
      </w:r>
      <w:r w:rsidRPr="00BA72A6">
        <w:rPr>
          <w:rFonts w:ascii="Arial" w:eastAsia="Yu Gothic UI" w:hAnsi="Arial" w:cs="Arial"/>
          <w:i/>
          <w:iCs/>
          <w:sz w:val="28"/>
          <w:szCs w:val="28"/>
        </w:rPr>
        <w:t xml:space="preserve">or, </w:t>
      </w:r>
      <w:r w:rsidRPr="00BA72A6">
        <w:rPr>
          <w:rFonts w:ascii="Arial" w:eastAsia="Yu Gothic UI" w:hAnsi="Arial" w:cs="Arial"/>
          <w:sz w:val="28"/>
          <w:szCs w:val="28"/>
        </w:rPr>
        <w:t xml:space="preserve">any firearm which is possessed by one who, at the same time, possesses a quantity of ammunition which may be used to discharge such firearm.] </w:t>
      </w:r>
      <w:r w:rsidRPr="00BA72A6">
        <w:rPr>
          <w:rStyle w:val="FootnoteReference"/>
          <w:rFonts w:ascii="Arial" w:eastAsia="Yu Gothic UI" w:hAnsi="Arial" w:cs="Arial"/>
          <w:sz w:val="28"/>
          <w:szCs w:val="28"/>
          <w:vertAlign w:val="superscript"/>
        </w:rPr>
        <w:footnoteReference w:id="6"/>
      </w:r>
    </w:p>
    <w:p w14:paraId="13AB8D1B" w14:textId="77777777" w:rsidR="00FF38B9" w:rsidRPr="00BA72A6" w:rsidRDefault="00FF38B9">
      <w:pPr>
        <w:jc w:val="both"/>
        <w:rPr>
          <w:rFonts w:ascii="Arial" w:eastAsia="Yu Gothic UI" w:hAnsi="Arial" w:cs="Arial"/>
          <w:sz w:val="28"/>
          <w:szCs w:val="28"/>
        </w:rPr>
      </w:pPr>
    </w:p>
    <w:p w14:paraId="375111B0" w14:textId="77777777" w:rsidR="00FF38B9" w:rsidRPr="00BA72A6" w:rsidRDefault="00FF38B9">
      <w:pPr>
        <w:jc w:val="both"/>
        <w:rPr>
          <w:rFonts w:ascii="Arial" w:eastAsia="Yu Gothic UI" w:hAnsi="Arial" w:cs="Arial"/>
          <w:sz w:val="28"/>
          <w:szCs w:val="28"/>
        </w:rPr>
        <w:sectPr w:rsidR="00FF38B9" w:rsidRPr="00BA72A6">
          <w:footerReference w:type="default" r:id="rId7"/>
          <w:type w:val="continuous"/>
          <w:pgSz w:w="12240" w:h="15840"/>
          <w:pgMar w:top="1440" w:right="2160" w:bottom="1440" w:left="2160" w:header="1440" w:footer="1440" w:gutter="0"/>
          <w:cols w:space="720"/>
          <w:noEndnote/>
        </w:sectPr>
      </w:pPr>
    </w:p>
    <w:p w14:paraId="3E6A9C20" w14:textId="0CEFCEFF" w:rsidR="00FF38B9" w:rsidRDefault="00FF38B9" w:rsidP="00D814F2">
      <w:pPr>
        <w:ind w:firstLine="720"/>
        <w:jc w:val="both"/>
        <w:rPr>
          <w:rFonts w:ascii="Arial" w:eastAsia="Yu Gothic UI" w:hAnsi="Arial" w:cs="Arial"/>
          <w:sz w:val="28"/>
          <w:szCs w:val="28"/>
        </w:rPr>
      </w:pPr>
      <w:r w:rsidRPr="00BA72A6">
        <w:rPr>
          <w:rFonts w:ascii="Arial" w:eastAsia="Yu Gothic UI" w:hAnsi="Arial" w:cs="Arial"/>
          <w:sz w:val="28"/>
          <w:szCs w:val="28"/>
        </w:rPr>
        <w:t>POSSESS means to have physical possession or otherwise to exercise dominion or control over tangible property.</w:t>
      </w:r>
      <w:r w:rsidRPr="00BA72A6">
        <w:rPr>
          <w:rStyle w:val="FootnoteReference"/>
          <w:rFonts w:ascii="Arial" w:eastAsia="Yu Gothic UI" w:hAnsi="Arial" w:cs="Arial"/>
          <w:sz w:val="28"/>
          <w:szCs w:val="28"/>
          <w:vertAlign w:val="superscript"/>
        </w:rPr>
        <w:footnoteReference w:id="7"/>
      </w:r>
    </w:p>
    <w:p w14:paraId="7234B87D" w14:textId="77777777" w:rsidR="00D814F2" w:rsidRDefault="00D814F2" w:rsidP="00D814F2">
      <w:pPr>
        <w:ind w:firstLine="720"/>
        <w:jc w:val="both"/>
        <w:rPr>
          <w:rFonts w:ascii="Arial" w:eastAsia="Yu Gothic UI" w:hAnsi="Arial" w:cs="Arial"/>
          <w:sz w:val="28"/>
          <w:szCs w:val="28"/>
        </w:rPr>
      </w:pPr>
    </w:p>
    <w:p w14:paraId="06799019" w14:textId="2AA2B3BA" w:rsidR="00D814F2" w:rsidRDefault="00D814F2" w:rsidP="00D814F2">
      <w:pPr>
        <w:ind w:firstLine="720"/>
        <w:jc w:val="both"/>
        <w:rPr>
          <w:rFonts w:ascii="Arial" w:eastAsia="Yu Gothic UI" w:hAnsi="Arial" w:cs="Arial"/>
          <w:sz w:val="28"/>
          <w:szCs w:val="28"/>
        </w:rPr>
      </w:pPr>
      <w:r w:rsidRPr="00D814F2">
        <w:rPr>
          <w:rFonts w:ascii="Arial" w:eastAsia="Yu Gothic UI" w:hAnsi="Arial" w:cs="Arial"/>
          <w:sz w:val="28"/>
          <w:szCs w:val="28"/>
        </w:rPr>
        <w:t xml:space="preserve">A person KNOWINGLY possesses </w:t>
      </w:r>
      <w:r w:rsidR="00966218">
        <w:rPr>
          <w:rFonts w:ascii="Arial" w:eastAsia="Yu Gothic UI" w:hAnsi="Arial" w:cs="Arial"/>
          <w:sz w:val="28"/>
          <w:szCs w:val="28"/>
        </w:rPr>
        <w:t xml:space="preserve">a </w:t>
      </w:r>
      <w:r w:rsidRPr="00BA72A6">
        <w:rPr>
          <w:rFonts w:ascii="Arial" w:eastAsia="Yu Gothic UI" w:hAnsi="Arial" w:cs="Arial"/>
          <w:sz w:val="28"/>
          <w:szCs w:val="28"/>
        </w:rPr>
        <w:t>firearm</w:t>
      </w:r>
      <w:r w:rsidRPr="00D814F2">
        <w:rPr>
          <w:rFonts w:ascii="Arial" w:eastAsia="Yu Gothic UI" w:hAnsi="Arial" w:cs="Arial"/>
          <w:sz w:val="28"/>
          <w:szCs w:val="28"/>
        </w:rPr>
        <w:t xml:space="preserve"> when that person is aware that he or she is in possession of an object that is </w:t>
      </w:r>
      <w:r w:rsidRPr="00BA72A6">
        <w:rPr>
          <w:rFonts w:ascii="Arial" w:eastAsia="Yu Gothic UI" w:hAnsi="Arial" w:cs="Arial"/>
          <w:sz w:val="28"/>
          <w:szCs w:val="28"/>
        </w:rPr>
        <w:t>firearm</w:t>
      </w:r>
      <w:r w:rsidR="008D104A">
        <w:rPr>
          <w:rFonts w:ascii="Arial" w:eastAsia="Yu Gothic UI" w:hAnsi="Arial" w:cs="Arial"/>
          <w:sz w:val="28"/>
          <w:szCs w:val="28"/>
        </w:rPr>
        <w:t>.</w:t>
      </w:r>
      <w:r w:rsidRPr="00D814F2">
        <w:rPr>
          <w:rFonts w:ascii="Arial" w:eastAsia="Yu Gothic UI" w:hAnsi="Arial" w:cs="Arial"/>
          <w:sz w:val="28"/>
          <w:szCs w:val="28"/>
          <w:vertAlign w:val="superscript"/>
        </w:rPr>
        <w:t xml:space="preserve"> </w:t>
      </w:r>
      <w:r w:rsidRPr="00D814F2">
        <w:rPr>
          <w:rFonts w:ascii="Arial" w:eastAsia="Yu Gothic UI" w:hAnsi="Arial" w:cs="Arial"/>
          <w:sz w:val="28"/>
          <w:szCs w:val="28"/>
          <w:vertAlign w:val="superscript"/>
        </w:rPr>
        <w:footnoteReference w:id="8"/>
      </w:r>
      <w:r w:rsidRPr="00D814F2">
        <w:rPr>
          <w:rFonts w:ascii="Arial" w:eastAsia="Yu Gothic UI" w:hAnsi="Arial" w:cs="Arial"/>
          <w:sz w:val="28"/>
          <w:szCs w:val="28"/>
        </w:rPr>
        <w:t xml:space="preserve"> That person need not know (that is, be aware of) the object’s name or that it meets the definition of </w:t>
      </w:r>
      <w:r w:rsidR="003B07B1">
        <w:rPr>
          <w:rFonts w:ascii="Arial" w:eastAsia="Yu Gothic UI" w:hAnsi="Arial" w:cs="Arial"/>
          <w:sz w:val="28"/>
          <w:szCs w:val="28"/>
        </w:rPr>
        <w:t>a firearm</w:t>
      </w:r>
      <w:r w:rsidRPr="00D814F2">
        <w:rPr>
          <w:rFonts w:ascii="Arial" w:eastAsia="Yu Gothic UI" w:hAnsi="Arial" w:cs="Arial"/>
          <w:sz w:val="28"/>
          <w:szCs w:val="28"/>
        </w:rPr>
        <w:t>.</w:t>
      </w:r>
      <w:r w:rsidRPr="00D814F2">
        <w:rPr>
          <w:rFonts w:ascii="Arial" w:eastAsia="Yu Gothic UI" w:hAnsi="Arial" w:cs="Arial"/>
          <w:sz w:val="28"/>
          <w:szCs w:val="28"/>
          <w:vertAlign w:val="superscript"/>
        </w:rPr>
        <w:footnoteReference w:id="9"/>
      </w:r>
    </w:p>
    <w:p w14:paraId="28369DB0" w14:textId="77777777" w:rsidR="00D814F2" w:rsidRDefault="00D814F2" w:rsidP="00D814F2">
      <w:pPr>
        <w:ind w:firstLine="720"/>
        <w:jc w:val="both"/>
        <w:rPr>
          <w:rFonts w:ascii="Arial" w:eastAsia="Yu Gothic UI" w:hAnsi="Arial" w:cs="Arial"/>
          <w:sz w:val="28"/>
          <w:szCs w:val="28"/>
        </w:rPr>
      </w:pPr>
    </w:p>
    <w:p w14:paraId="1AF451C4" w14:textId="69ABCE0E" w:rsidR="00FF38B9" w:rsidRPr="00BA72A6" w:rsidRDefault="005D3EB9" w:rsidP="00B424AD">
      <w:pPr>
        <w:ind w:firstLine="720"/>
        <w:jc w:val="both"/>
        <w:rPr>
          <w:rFonts w:ascii="Arial" w:eastAsia="Yu Gothic UI" w:hAnsi="Arial" w:cs="Arial"/>
          <w:sz w:val="28"/>
          <w:szCs w:val="28"/>
        </w:rPr>
      </w:pPr>
      <w:r w:rsidRPr="00BA72A6">
        <w:rPr>
          <w:rFonts w:ascii="Arial" w:eastAsia="Yu Gothic UI" w:hAnsi="Arial" w:cs="Arial"/>
          <w:sz w:val="28"/>
          <w:szCs w:val="28"/>
        </w:rPr>
        <w:t>Under our law, a firearm must be operable, that is, the  firearm must be capable of discharging ammunition.</w:t>
      </w:r>
      <w:r w:rsidRPr="00BA72A6">
        <w:rPr>
          <w:rStyle w:val="FootnoteReference"/>
          <w:rFonts w:ascii="Arial" w:eastAsia="Yu Gothic UI" w:hAnsi="Arial" w:cs="Arial"/>
          <w:sz w:val="28"/>
          <w:szCs w:val="28"/>
          <w:vertAlign w:val="superscript"/>
        </w:rPr>
        <w:footnoteReference w:id="10"/>
      </w:r>
      <w:r w:rsidR="00B424AD">
        <w:rPr>
          <w:rFonts w:ascii="Arial" w:eastAsia="Yu Gothic UI" w:hAnsi="Arial" w:cs="Arial"/>
          <w:sz w:val="28"/>
          <w:szCs w:val="28"/>
        </w:rPr>
        <w:t xml:space="preserve">  </w:t>
      </w:r>
      <w:r w:rsidR="008D104A">
        <w:rPr>
          <w:rFonts w:ascii="Arial" w:eastAsia="Yu Gothic UI" w:hAnsi="Arial" w:cs="Arial"/>
          <w:sz w:val="28"/>
          <w:szCs w:val="28"/>
        </w:rPr>
        <w:t xml:space="preserve">A person in possession of a firearm </w:t>
      </w:r>
      <w:r w:rsidR="001C7E2E" w:rsidRPr="00BA72A6">
        <w:rPr>
          <w:rFonts w:ascii="Arial" w:eastAsia="Yu Gothic UI" w:hAnsi="Arial" w:cs="Arial"/>
          <w:sz w:val="28"/>
          <w:szCs w:val="28"/>
        </w:rPr>
        <w:t xml:space="preserve">is not required to know that the firearm </w:t>
      </w:r>
      <w:r w:rsidR="003B07B1">
        <w:rPr>
          <w:rFonts w:ascii="Arial" w:eastAsia="Yu Gothic UI" w:hAnsi="Arial" w:cs="Arial"/>
          <w:sz w:val="28"/>
          <w:szCs w:val="28"/>
        </w:rPr>
        <w:lastRenderedPageBreak/>
        <w:t>is operable or</w:t>
      </w:r>
      <w:r w:rsidR="001C7E2E" w:rsidRPr="00BA72A6">
        <w:rPr>
          <w:rFonts w:ascii="Arial" w:eastAsia="Yu Gothic UI" w:hAnsi="Arial" w:cs="Arial"/>
          <w:sz w:val="28"/>
          <w:szCs w:val="28"/>
        </w:rPr>
        <w:t xml:space="preserve"> loaded</w:t>
      </w:r>
      <w:r w:rsidR="00FF38B9" w:rsidRPr="00BA72A6">
        <w:rPr>
          <w:rFonts w:ascii="Arial" w:eastAsia="Yu Gothic UI" w:hAnsi="Arial" w:cs="Arial"/>
          <w:sz w:val="28"/>
          <w:szCs w:val="28"/>
        </w:rPr>
        <w:t>.</w:t>
      </w:r>
      <w:r w:rsidR="00FF38B9" w:rsidRPr="00BA72A6">
        <w:rPr>
          <w:rStyle w:val="FootnoteReference"/>
          <w:rFonts w:ascii="Arial" w:eastAsia="Yu Gothic UI" w:hAnsi="Arial" w:cs="Arial"/>
          <w:sz w:val="28"/>
          <w:szCs w:val="28"/>
          <w:vertAlign w:val="superscript"/>
        </w:rPr>
        <w:footnoteReference w:id="11"/>
      </w:r>
    </w:p>
    <w:p w14:paraId="29F19363" w14:textId="77777777" w:rsidR="00FF38B9" w:rsidRPr="00BA72A6" w:rsidRDefault="00FF38B9">
      <w:pPr>
        <w:jc w:val="both"/>
        <w:rPr>
          <w:rFonts w:ascii="Arial" w:eastAsia="Yu Gothic UI" w:hAnsi="Arial" w:cs="Arial"/>
          <w:sz w:val="28"/>
          <w:szCs w:val="28"/>
        </w:rPr>
      </w:pPr>
    </w:p>
    <w:p w14:paraId="33B005DF" w14:textId="77777777" w:rsidR="00FF38B9" w:rsidRPr="00BA72A6" w:rsidRDefault="00FF38B9">
      <w:pPr>
        <w:ind w:firstLine="720"/>
        <w:jc w:val="both"/>
        <w:rPr>
          <w:rFonts w:ascii="Arial" w:eastAsia="Yu Gothic UI" w:hAnsi="Arial" w:cs="Arial"/>
          <w:sz w:val="28"/>
          <w:szCs w:val="28"/>
        </w:rPr>
      </w:pPr>
      <w:r w:rsidRPr="00BA72A6">
        <w:rPr>
          <w:rFonts w:ascii="Arial" w:eastAsia="Yu Gothic UI" w:hAnsi="Arial" w:cs="Arial"/>
          <w:sz w:val="28"/>
          <w:szCs w:val="28"/>
        </w:rPr>
        <w:t>In order for you to find the defendant guilty of this crime, the People are required to prove, from all of the evidence in the case, beyond a reasonable doubt, each of the following three elements:</w:t>
      </w:r>
    </w:p>
    <w:p w14:paraId="02DE0BBD" w14:textId="77777777" w:rsidR="00FF38B9" w:rsidRPr="00BA72A6" w:rsidRDefault="00FF38B9">
      <w:pPr>
        <w:jc w:val="both"/>
        <w:rPr>
          <w:rFonts w:ascii="Arial" w:eastAsia="Yu Gothic UI" w:hAnsi="Arial" w:cs="Arial"/>
          <w:sz w:val="28"/>
          <w:szCs w:val="28"/>
        </w:rPr>
      </w:pPr>
    </w:p>
    <w:p w14:paraId="1B750F54" w14:textId="67FA71C2" w:rsidR="00FF38B9" w:rsidRPr="00BA72A6" w:rsidRDefault="00FF38B9">
      <w:pPr>
        <w:tabs>
          <w:tab w:val="left" w:pos="-1440"/>
        </w:tabs>
        <w:ind w:left="1440" w:hanging="720"/>
        <w:jc w:val="both"/>
        <w:rPr>
          <w:rFonts w:ascii="Arial" w:eastAsia="Yu Gothic UI" w:hAnsi="Arial" w:cs="Arial"/>
          <w:sz w:val="28"/>
          <w:szCs w:val="28"/>
        </w:rPr>
      </w:pPr>
      <w:r w:rsidRPr="00BA72A6">
        <w:rPr>
          <w:rFonts w:ascii="Arial" w:eastAsia="Yu Gothic UI" w:hAnsi="Arial" w:cs="Arial"/>
          <w:sz w:val="28"/>
          <w:szCs w:val="28"/>
        </w:rPr>
        <w:t>1.</w:t>
      </w:r>
      <w:r w:rsidRPr="00BA72A6">
        <w:rPr>
          <w:rFonts w:ascii="Arial" w:eastAsia="Yu Gothic UI" w:hAnsi="Arial" w:cs="Arial"/>
          <w:sz w:val="28"/>
          <w:szCs w:val="28"/>
        </w:rPr>
        <w:tab/>
        <w:t xml:space="preserve">That on or about </w:t>
      </w:r>
      <w:r w:rsidRPr="00BA72A6">
        <w:rPr>
          <w:rFonts w:ascii="Arial" w:eastAsia="Yu Gothic UI" w:hAnsi="Arial" w:cs="Arial"/>
          <w:i/>
          <w:iCs/>
          <w:sz w:val="28"/>
          <w:szCs w:val="28"/>
          <w:u w:val="single"/>
        </w:rPr>
        <w:t xml:space="preserve"> (date) </w:t>
      </w:r>
      <w:r w:rsidRPr="00BA72A6">
        <w:rPr>
          <w:rFonts w:ascii="Arial" w:eastAsia="Yu Gothic UI" w:hAnsi="Arial" w:cs="Arial"/>
          <w:sz w:val="28"/>
          <w:szCs w:val="28"/>
        </w:rPr>
        <w:t xml:space="preserve">, in the </w:t>
      </w:r>
      <w:r w:rsidR="00B424AD">
        <w:rPr>
          <w:rFonts w:ascii="Arial" w:eastAsia="Yu Gothic UI" w:hAnsi="Arial" w:cs="Arial"/>
          <w:sz w:val="28"/>
          <w:szCs w:val="28"/>
        </w:rPr>
        <w:t>C</w:t>
      </w:r>
      <w:r w:rsidRPr="00BA72A6">
        <w:rPr>
          <w:rFonts w:ascii="Arial" w:eastAsia="Yu Gothic UI" w:hAnsi="Arial" w:cs="Arial"/>
          <w:sz w:val="28"/>
          <w:szCs w:val="28"/>
        </w:rPr>
        <w:t xml:space="preserve">ounty of </w:t>
      </w:r>
      <w:r w:rsidRPr="00BA72A6">
        <w:rPr>
          <w:rFonts w:ascii="Arial" w:eastAsia="Yu Gothic UI" w:hAnsi="Arial" w:cs="Arial"/>
          <w:i/>
          <w:iCs/>
          <w:sz w:val="28"/>
          <w:szCs w:val="28"/>
          <w:u w:val="single"/>
        </w:rPr>
        <w:t xml:space="preserve"> (County)</w:t>
      </w:r>
      <w:r w:rsidRPr="00BA72A6">
        <w:rPr>
          <w:rFonts w:ascii="Arial" w:eastAsia="Yu Gothic UI" w:hAnsi="Arial" w:cs="Arial"/>
          <w:sz w:val="28"/>
          <w:szCs w:val="28"/>
        </w:rPr>
        <w:t xml:space="preserve">, the defendant, </w:t>
      </w:r>
      <w:r w:rsidRPr="00BA72A6">
        <w:rPr>
          <w:rFonts w:ascii="Arial" w:eastAsia="Yu Gothic UI" w:hAnsi="Arial" w:cs="Arial"/>
          <w:i/>
          <w:iCs/>
          <w:sz w:val="28"/>
          <w:szCs w:val="28"/>
          <w:u w:val="single"/>
        </w:rPr>
        <w:t xml:space="preserve"> (defendant's name) </w:t>
      </w:r>
      <w:r w:rsidRPr="00BA72A6">
        <w:rPr>
          <w:rFonts w:ascii="Arial" w:eastAsia="Yu Gothic UI" w:hAnsi="Arial" w:cs="Arial"/>
          <w:sz w:val="28"/>
          <w:szCs w:val="28"/>
        </w:rPr>
        <w:t xml:space="preserve">possessed a firearm;  </w:t>
      </w:r>
    </w:p>
    <w:p w14:paraId="74D9CFCC" w14:textId="77777777" w:rsidR="00FF38B9" w:rsidRPr="00BA72A6" w:rsidRDefault="00FF38B9">
      <w:pPr>
        <w:jc w:val="both"/>
        <w:rPr>
          <w:rFonts w:ascii="Arial" w:eastAsia="Yu Gothic UI" w:hAnsi="Arial" w:cs="Arial"/>
          <w:sz w:val="28"/>
          <w:szCs w:val="28"/>
        </w:rPr>
      </w:pPr>
    </w:p>
    <w:p w14:paraId="0CE3CDA6" w14:textId="24528602" w:rsidR="00B424AD" w:rsidRDefault="00FF38B9">
      <w:pPr>
        <w:tabs>
          <w:tab w:val="left" w:pos="-1440"/>
        </w:tabs>
        <w:ind w:left="1440" w:hanging="720"/>
        <w:jc w:val="both"/>
        <w:rPr>
          <w:rFonts w:ascii="Arial" w:eastAsia="Yu Gothic UI" w:hAnsi="Arial" w:cs="Arial"/>
          <w:sz w:val="28"/>
          <w:szCs w:val="28"/>
        </w:rPr>
      </w:pPr>
      <w:r w:rsidRPr="00BA72A6">
        <w:rPr>
          <w:rFonts w:ascii="Arial" w:eastAsia="Yu Gothic UI" w:hAnsi="Arial" w:cs="Arial"/>
          <w:sz w:val="28"/>
          <w:szCs w:val="28"/>
        </w:rPr>
        <w:t>2.</w:t>
      </w:r>
      <w:r w:rsidRPr="00BA72A6">
        <w:rPr>
          <w:rFonts w:ascii="Arial" w:eastAsia="Yu Gothic UI" w:hAnsi="Arial" w:cs="Arial"/>
          <w:sz w:val="28"/>
          <w:szCs w:val="28"/>
        </w:rPr>
        <w:tab/>
        <w:t xml:space="preserve">That the defendant did so knowingly; </w:t>
      </w:r>
      <w:r w:rsidR="00B424AD">
        <w:rPr>
          <w:rFonts w:ascii="Arial" w:eastAsia="Yu Gothic UI" w:hAnsi="Arial" w:cs="Arial"/>
          <w:sz w:val="28"/>
          <w:szCs w:val="28"/>
        </w:rPr>
        <w:t>and</w:t>
      </w:r>
    </w:p>
    <w:p w14:paraId="6305C47C" w14:textId="0DEB09CE" w:rsidR="00FF38B9" w:rsidRPr="00BA72A6" w:rsidRDefault="00FF38B9">
      <w:pPr>
        <w:tabs>
          <w:tab w:val="left" w:pos="-1440"/>
        </w:tabs>
        <w:ind w:left="1440" w:hanging="720"/>
        <w:jc w:val="both"/>
        <w:rPr>
          <w:rFonts w:ascii="Arial" w:eastAsia="Yu Gothic UI" w:hAnsi="Arial" w:cs="Arial"/>
          <w:sz w:val="28"/>
          <w:szCs w:val="28"/>
        </w:rPr>
      </w:pPr>
      <w:r w:rsidRPr="00BA72A6">
        <w:rPr>
          <w:rFonts w:ascii="Arial" w:eastAsia="Yu Gothic UI" w:hAnsi="Arial" w:cs="Arial"/>
          <w:sz w:val="28"/>
          <w:szCs w:val="28"/>
        </w:rPr>
        <w:t xml:space="preserve">                                 </w:t>
      </w:r>
    </w:p>
    <w:p w14:paraId="6F4FC128" w14:textId="77777777" w:rsidR="00FF38B9" w:rsidRPr="00BA72A6" w:rsidRDefault="00FF38B9">
      <w:pPr>
        <w:tabs>
          <w:tab w:val="left" w:pos="-1440"/>
        </w:tabs>
        <w:ind w:left="1440" w:hanging="720"/>
        <w:jc w:val="both"/>
        <w:rPr>
          <w:rFonts w:ascii="Arial" w:eastAsia="Yu Gothic UI" w:hAnsi="Arial" w:cs="Arial"/>
          <w:sz w:val="28"/>
          <w:szCs w:val="28"/>
        </w:rPr>
      </w:pPr>
      <w:r w:rsidRPr="00BA72A6">
        <w:rPr>
          <w:rFonts w:ascii="Arial" w:eastAsia="Yu Gothic UI" w:hAnsi="Arial" w:cs="Arial"/>
          <w:sz w:val="28"/>
          <w:szCs w:val="28"/>
        </w:rPr>
        <w:t>3.</w:t>
      </w:r>
      <w:r w:rsidRPr="00BA72A6">
        <w:rPr>
          <w:rFonts w:ascii="Arial" w:eastAsia="Yu Gothic UI" w:hAnsi="Arial" w:cs="Arial"/>
          <w:sz w:val="28"/>
          <w:szCs w:val="28"/>
        </w:rPr>
        <w:tab/>
        <w:t>That the firearm was loaded and operable.</w:t>
      </w:r>
    </w:p>
    <w:p w14:paraId="61B1FBE3" w14:textId="77777777" w:rsidR="00FF38B9" w:rsidRPr="00BA72A6" w:rsidRDefault="00FF38B9">
      <w:pPr>
        <w:jc w:val="both"/>
        <w:rPr>
          <w:rFonts w:ascii="Arial" w:eastAsia="Yu Gothic UI" w:hAnsi="Arial" w:cs="Arial"/>
          <w:sz w:val="28"/>
          <w:szCs w:val="28"/>
        </w:rPr>
      </w:pPr>
    </w:p>
    <w:p w14:paraId="04192416" w14:textId="77777777" w:rsidR="00FF38B9" w:rsidRPr="00BA72A6" w:rsidRDefault="00FF38B9">
      <w:pPr>
        <w:ind w:firstLine="720"/>
        <w:jc w:val="both"/>
        <w:rPr>
          <w:rFonts w:ascii="Arial" w:hAnsi="Arial" w:cs="Arial"/>
          <w:sz w:val="28"/>
          <w:szCs w:val="28"/>
        </w:rPr>
      </w:pPr>
      <w:r w:rsidRPr="00BA72A6">
        <w:rPr>
          <w:rFonts w:ascii="Arial" w:hAnsi="Arial" w:cs="Arial"/>
          <w:sz w:val="28"/>
          <w:szCs w:val="28"/>
        </w:rPr>
        <w:t>If you find the People have proven beyond a reasonable doubt each of those elements, you must find the defendant guilty of this crime.</w:t>
      </w:r>
    </w:p>
    <w:p w14:paraId="538A13B1" w14:textId="77777777" w:rsidR="00FF38B9" w:rsidRPr="00BA72A6" w:rsidRDefault="00FF38B9">
      <w:pPr>
        <w:jc w:val="both"/>
        <w:rPr>
          <w:rFonts w:ascii="Arial" w:hAnsi="Arial" w:cs="Arial"/>
          <w:sz w:val="28"/>
          <w:szCs w:val="28"/>
        </w:rPr>
      </w:pPr>
    </w:p>
    <w:p w14:paraId="732253E0" w14:textId="77777777" w:rsidR="00FF38B9" w:rsidRPr="00BA72A6" w:rsidRDefault="00FF38B9">
      <w:pPr>
        <w:ind w:firstLine="720"/>
        <w:jc w:val="both"/>
        <w:rPr>
          <w:rFonts w:ascii="Arial" w:hAnsi="Arial" w:cs="Arial"/>
          <w:sz w:val="28"/>
          <w:szCs w:val="28"/>
        </w:rPr>
      </w:pPr>
      <w:r w:rsidRPr="00BA72A6">
        <w:rPr>
          <w:rFonts w:ascii="Arial" w:hAnsi="Arial" w:cs="Arial"/>
          <w:sz w:val="28"/>
          <w:szCs w:val="28"/>
        </w:rPr>
        <w:t>If you find the People have not proven beyond a reasonable doubt any one or more of those elements, you must find the defendant not guilty of this crime.</w:t>
      </w:r>
    </w:p>
    <w:p w14:paraId="06F8ABC5" w14:textId="77777777" w:rsidR="00FF38B9" w:rsidRPr="00BA72A6" w:rsidRDefault="00FF38B9">
      <w:pPr>
        <w:jc w:val="both"/>
        <w:rPr>
          <w:rFonts w:ascii="Arial" w:eastAsia="Yu Gothic UI" w:hAnsi="Arial" w:cs="Arial"/>
          <w:sz w:val="28"/>
          <w:szCs w:val="28"/>
        </w:rPr>
      </w:pPr>
    </w:p>
    <w:sectPr w:rsidR="00FF38B9" w:rsidRPr="00BA72A6" w:rsidSect="00FF38B9">
      <w:type w:val="continuous"/>
      <w:pgSz w:w="12240" w:h="15840"/>
      <w:pgMar w:top="1440" w:right="2160" w:bottom="1440" w:left="21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4D505" w14:textId="77777777" w:rsidR="00FF38B9" w:rsidRDefault="00FF38B9" w:rsidP="00FF38B9">
      <w:r>
        <w:separator/>
      </w:r>
    </w:p>
  </w:endnote>
  <w:endnote w:type="continuationSeparator" w:id="0">
    <w:p w14:paraId="07D47BB3" w14:textId="77777777" w:rsidR="00FF38B9" w:rsidRDefault="00FF38B9" w:rsidP="00FF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BFA6" w14:textId="77777777" w:rsidR="00FF38B9" w:rsidRDefault="00FF38B9">
    <w:pPr>
      <w:spacing w:line="240" w:lineRule="exact"/>
    </w:pPr>
  </w:p>
  <w:p w14:paraId="046F0791" w14:textId="093CB335" w:rsidR="00FF38B9" w:rsidRDefault="00FF38B9">
    <w:pPr>
      <w:framePr w:w="7921" w:wrap="notBeside" w:vAnchor="text" w:hAnchor="text" w:x="1" w:y="1"/>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w:instrText>
    </w:r>
    <w:r>
      <w:rPr>
        <w:rFonts w:ascii="Arial" w:hAnsi="Arial" w:cs="Arial"/>
        <w:sz w:val="20"/>
        <w:szCs w:val="20"/>
      </w:rPr>
      <w:fldChar w:fldCharType="separate"/>
    </w:r>
    <w:r w:rsidR="00BA72A6">
      <w:rPr>
        <w:rFonts w:ascii="Arial" w:hAnsi="Arial" w:cs="Arial"/>
        <w:noProof/>
        <w:sz w:val="20"/>
        <w:szCs w:val="20"/>
      </w:rPr>
      <w:t>3</w:t>
    </w:r>
    <w:r>
      <w:rPr>
        <w:rFonts w:ascii="Arial" w:hAnsi="Arial" w:cs="Arial"/>
        <w:sz w:val="20"/>
        <w:szCs w:val="20"/>
      </w:rPr>
      <w:fldChar w:fldCharType="end"/>
    </w:r>
  </w:p>
  <w:p w14:paraId="32820B5C" w14:textId="77777777" w:rsidR="00FF38B9" w:rsidRDefault="00FF38B9">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4D8E" w14:textId="77777777" w:rsidR="00FF38B9" w:rsidRDefault="00FF38B9" w:rsidP="00FF38B9">
      <w:r>
        <w:separator/>
      </w:r>
    </w:p>
  </w:footnote>
  <w:footnote w:type="continuationSeparator" w:id="0">
    <w:p w14:paraId="273EE3D2" w14:textId="77777777" w:rsidR="00FF38B9" w:rsidRDefault="00FF38B9" w:rsidP="00FF38B9">
      <w:r>
        <w:continuationSeparator/>
      </w:r>
    </w:p>
  </w:footnote>
  <w:footnote w:id="1">
    <w:p w14:paraId="2DF2B2A3" w14:textId="46D4AE33" w:rsidR="00FF38B9" w:rsidRPr="00BA72A6" w:rsidRDefault="00FF38B9" w:rsidP="00BA72A6">
      <w:pPr>
        <w:ind w:firstLine="720"/>
        <w:jc w:val="both"/>
        <w:rPr>
          <w:rFonts w:ascii="Arial" w:eastAsia="Yu Gothic UI" w:hAnsi="Arial" w:cs="Arial"/>
          <w:sz w:val="22"/>
          <w:szCs w:val="22"/>
        </w:rPr>
      </w:pPr>
      <w:r>
        <w:rPr>
          <w:rFonts w:ascii="Yu Gothic UI" w:eastAsia="Yu Gothic UI" w:cs="Yu Gothic UI"/>
          <w:vertAlign w:val="superscript"/>
        </w:rPr>
        <w:t>1</w:t>
      </w:r>
      <w:r>
        <w:rPr>
          <w:rFonts w:ascii="Yu Gothic UI" w:eastAsia="Yu Gothic UI" w:cs="Yu Gothic UI"/>
        </w:rPr>
        <w:t xml:space="preserve"> </w:t>
      </w:r>
      <w:r w:rsidRPr="00BA72A6">
        <w:rPr>
          <w:rFonts w:ascii="Arial" w:eastAsia="Yu Gothic UI" w:hAnsi="Arial" w:cs="Arial"/>
          <w:sz w:val="22"/>
          <w:szCs w:val="22"/>
        </w:rPr>
        <w:t xml:space="preserve">In </w:t>
      </w:r>
      <w:r w:rsidRPr="00BA72A6">
        <w:rPr>
          <w:rFonts w:ascii="Arial" w:eastAsia="Yu Gothic UI" w:hAnsi="Arial" w:cs="Arial"/>
          <w:i/>
          <w:iCs/>
          <w:sz w:val="22"/>
          <w:szCs w:val="22"/>
        </w:rPr>
        <w:t>People v Jones</w:t>
      </w:r>
      <w:r w:rsidRPr="00BA72A6">
        <w:rPr>
          <w:rFonts w:ascii="Arial" w:eastAsia="Yu Gothic UI" w:hAnsi="Arial" w:cs="Arial"/>
          <w:sz w:val="22"/>
          <w:szCs w:val="22"/>
        </w:rPr>
        <w:t>,  22 NY3d 53</w:t>
      </w:r>
      <w:r w:rsidR="00C7579A">
        <w:rPr>
          <w:rFonts w:ascii="Arial" w:eastAsia="Yu Gothic UI" w:hAnsi="Arial" w:cs="Arial"/>
          <w:sz w:val="22"/>
          <w:szCs w:val="22"/>
        </w:rPr>
        <w:t>, 59</w:t>
      </w:r>
      <w:r w:rsidRPr="00BA72A6">
        <w:rPr>
          <w:rFonts w:ascii="Arial" w:eastAsia="Yu Gothic UI" w:hAnsi="Arial" w:cs="Arial"/>
          <w:sz w:val="22"/>
          <w:szCs w:val="22"/>
        </w:rPr>
        <w:t xml:space="preserve"> (2013), the defendant was charged with the instant crime.  Although the possession took place in the defendant's home, the defendant had previously been convicted of a crime. Thus, the Court held, the exception for liability for the instant crime, as set forth in the statute defining this crime, was inapplicable.  The Court explained that "in our view defendant's previous conviction was not an </w:t>
      </w:r>
      <w:r w:rsidR="00C7579A">
        <w:rPr>
          <w:rFonts w:ascii="Arial" w:eastAsia="Yu Gothic UI" w:hAnsi="Arial" w:cs="Arial"/>
          <w:sz w:val="22"/>
          <w:szCs w:val="22"/>
        </w:rPr>
        <w:t>‘</w:t>
      </w:r>
      <w:r w:rsidRPr="00BA72A6">
        <w:rPr>
          <w:rFonts w:ascii="Arial" w:eastAsia="Yu Gothic UI" w:hAnsi="Arial" w:cs="Arial"/>
          <w:sz w:val="22"/>
          <w:szCs w:val="22"/>
        </w:rPr>
        <w:t>element of the offense charged</w:t>
      </w:r>
      <w:r w:rsidR="00C7579A">
        <w:rPr>
          <w:rFonts w:ascii="Arial" w:eastAsia="Yu Gothic UI" w:hAnsi="Arial" w:cs="Arial"/>
          <w:sz w:val="22"/>
          <w:szCs w:val="22"/>
        </w:rPr>
        <w:t>’</w:t>
      </w:r>
      <w:r w:rsidRPr="00BA72A6">
        <w:rPr>
          <w:rFonts w:ascii="Arial" w:eastAsia="Yu Gothic UI" w:hAnsi="Arial" w:cs="Arial"/>
          <w:sz w:val="22"/>
          <w:szCs w:val="22"/>
        </w:rPr>
        <w:t>.</w:t>
      </w:r>
      <w:r w:rsidR="00A14CD8">
        <w:rPr>
          <w:rFonts w:ascii="Arial" w:eastAsia="Yu Gothic UI" w:hAnsi="Arial" w:cs="Arial"/>
          <w:sz w:val="22"/>
          <w:szCs w:val="22"/>
        </w:rPr>
        <w:t xml:space="preserve"> </w:t>
      </w:r>
      <w:r w:rsidRPr="00BA72A6">
        <w:rPr>
          <w:rFonts w:ascii="Arial" w:eastAsia="Yu Gothic UI" w:hAnsi="Arial" w:cs="Arial"/>
          <w:sz w:val="22"/>
          <w:szCs w:val="22"/>
        </w:rPr>
        <w:t>.</w:t>
      </w:r>
      <w:r w:rsidR="00A14CD8">
        <w:rPr>
          <w:rFonts w:ascii="Arial" w:eastAsia="Yu Gothic UI" w:hAnsi="Arial" w:cs="Arial"/>
          <w:sz w:val="22"/>
          <w:szCs w:val="22"/>
        </w:rPr>
        <w:t xml:space="preserve"> </w:t>
      </w:r>
      <w:r w:rsidRPr="00BA72A6">
        <w:rPr>
          <w:rFonts w:ascii="Arial" w:eastAsia="Yu Gothic UI" w:hAnsi="Arial" w:cs="Arial"/>
          <w:sz w:val="22"/>
          <w:szCs w:val="22"/>
        </w:rPr>
        <w:t>.and so did not have to be alleged at all (see CPL 200.50 [7] [a]).</w:t>
      </w:r>
      <w:r w:rsidR="008F600C">
        <w:rPr>
          <w:rFonts w:ascii="Arial" w:eastAsia="Yu Gothic UI" w:hAnsi="Arial" w:cs="Arial"/>
          <w:sz w:val="22"/>
          <w:szCs w:val="22"/>
        </w:rPr>
        <w:t>”</w:t>
      </w:r>
      <w:r w:rsidRPr="00BA72A6">
        <w:rPr>
          <w:rFonts w:ascii="Arial" w:eastAsia="Yu Gothic UI" w:hAnsi="Arial" w:cs="Arial"/>
          <w:sz w:val="22"/>
          <w:szCs w:val="22"/>
        </w:rPr>
        <w:t xml:space="preserve"> </w:t>
      </w:r>
    </w:p>
    <w:p w14:paraId="52BBD734" w14:textId="539ADA36" w:rsidR="00FF38B9" w:rsidRPr="00BA72A6" w:rsidRDefault="00FF38B9" w:rsidP="00BA72A6">
      <w:pPr>
        <w:ind w:firstLine="720"/>
        <w:jc w:val="both"/>
        <w:rPr>
          <w:rFonts w:ascii="Arial" w:eastAsia="Yu Gothic UI" w:hAnsi="Arial" w:cs="Arial"/>
          <w:sz w:val="22"/>
          <w:szCs w:val="22"/>
        </w:rPr>
      </w:pPr>
      <w:r w:rsidRPr="00BA72A6">
        <w:rPr>
          <w:rFonts w:ascii="Arial" w:eastAsia="Yu Gothic UI" w:hAnsi="Arial" w:cs="Arial"/>
          <w:sz w:val="22"/>
          <w:szCs w:val="22"/>
        </w:rPr>
        <w:sym w:font="WP TypographicSymbols" w:char="0041"/>
      </w:r>
      <w:r w:rsidRPr="00BA72A6">
        <w:rPr>
          <w:rFonts w:ascii="Arial" w:eastAsia="Yu Gothic UI" w:hAnsi="Arial" w:cs="Arial"/>
          <w:sz w:val="22"/>
          <w:szCs w:val="22"/>
        </w:rPr>
        <w:t>No doubt,</w:t>
      </w:r>
      <w:r w:rsidRPr="00BA72A6">
        <w:rPr>
          <w:rFonts w:ascii="Arial" w:eastAsia="Yu Gothic UI" w:hAnsi="Arial" w:cs="Arial"/>
          <w:sz w:val="22"/>
          <w:szCs w:val="22"/>
        </w:rPr>
        <w:sym w:font="WP TypographicSymbols" w:char="0040"/>
      </w:r>
      <w:r w:rsidRPr="00BA72A6">
        <w:rPr>
          <w:rFonts w:ascii="Arial" w:eastAsia="Yu Gothic UI" w:hAnsi="Arial" w:cs="Arial"/>
          <w:sz w:val="22"/>
          <w:szCs w:val="22"/>
        </w:rPr>
        <w:t xml:space="preserve"> the Court added, </w:t>
      </w:r>
      <w:r w:rsidRPr="00BA72A6">
        <w:rPr>
          <w:rFonts w:ascii="Arial" w:eastAsia="Yu Gothic UI" w:hAnsi="Arial" w:cs="Arial"/>
          <w:sz w:val="22"/>
          <w:szCs w:val="22"/>
        </w:rPr>
        <w:sym w:font="WP TypographicSymbols" w:char="0041"/>
      </w:r>
      <w:r w:rsidRPr="00BA72A6">
        <w:rPr>
          <w:rFonts w:ascii="Arial" w:eastAsia="Yu Gothic UI" w:hAnsi="Arial" w:cs="Arial"/>
          <w:sz w:val="22"/>
          <w:szCs w:val="22"/>
        </w:rPr>
        <w:t>in a more typical second degree possession case</w:t>
      </w:r>
      <w:r w:rsidR="008F600C">
        <w:rPr>
          <w:rFonts w:ascii="Arial" w:eastAsia="Yu Gothic UI" w:hAnsi="Arial" w:cs="Arial"/>
          <w:sz w:val="22"/>
          <w:szCs w:val="22"/>
        </w:rPr>
        <w:t xml:space="preserve"> </w:t>
      </w:r>
      <w:r w:rsidRPr="00BA72A6">
        <w:rPr>
          <w:rFonts w:ascii="Arial" w:eastAsia="Yu Gothic UI" w:hAnsi="Arial" w:cs="Arial"/>
          <w:sz w:val="22"/>
          <w:szCs w:val="22"/>
        </w:rPr>
        <w:t>.</w:t>
      </w:r>
      <w:r w:rsidR="008F600C">
        <w:rPr>
          <w:rFonts w:ascii="Arial" w:eastAsia="Yu Gothic UI" w:hAnsi="Arial" w:cs="Arial"/>
          <w:sz w:val="22"/>
          <w:szCs w:val="22"/>
        </w:rPr>
        <w:t xml:space="preserve"> </w:t>
      </w:r>
      <w:r w:rsidRPr="00BA72A6">
        <w:rPr>
          <w:rFonts w:ascii="Arial" w:eastAsia="Yu Gothic UI" w:hAnsi="Arial" w:cs="Arial"/>
          <w:sz w:val="22"/>
          <w:szCs w:val="22"/>
        </w:rPr>
        <w:t>.</w:t>
      </w:r>
      <w:r w:rsidR="008F600C">
        <w:rPr>
          <w:rFonts w:ascii="Arial" w:eastAsia="Yu Gothic UI" w:hAnsi="Arial" w:cs="Arial"/>
          <w:sz w:val="22"/>
          <w:szCs w:val="22"/>
        </w:rPr>
        <w:t xml:space="preserve"> </w:t>
      </w:r>
      <w:r w:rsidRPr="00BA72A6">
        <w:rPr>
          <w:rFonts w:ascii="Arial" w:eastAsia="Yu Gothic UI" w:hAnsi="Arial" w:cs="Arial"/>
          <w:sz w:val="22"/>
          <w:szCs w:val="22"/>
        </w:rPr>
        <w:t>.</w:t>
      </w:r>
      <w:r w:rsidR="008F600C">
        <w:rPr>
          <w:rFonts w:ascii="Arial" w:eastAsia="Yu Gothic UI" w:hAnsi="Arial" w:cs="Arial"/>
          <w:sz w:val="22"/>
          <w:szCs w:val="22"/>
        </w:rPr>
        <w:t xml:space="preserve"> </w:t>
      </w:r>
      <w:r w:rsidRPr="00BA72A6">
        <w:rPr>
          <w:rFonts w:ascii="Arial" w:eastAsia="Yu Gothic UI" w:hAnsi="Arial" w:cs="Arial"/>
          <w:sz w:val="22"/>
          <w:szCs w:val="22"/>
        </w:rPr>
        <w:t>where the alleged possession took place somewhere else</w:t>
      </w:r>
      <w:r w:rsidRPr="00BA72A6">
        <w:rPr>
          <w:rFonts w:ascii="Arial" w:eastAsia="Yu Gothic UI" w:hAnsi="Arial" w:cs="Arial"/>
          <w:sz w:val="22"/>
          <w:szCs w:val="22"/>
        </w:rPr>
        <w:sym w:font="WP TypographicSymbols" w:char="0043"/>
      </w:r>
      <w:r w:rsidRPr="00BA72A6">
        <w:rPr>
          <w:rFonts w:ascii="Arial" w:eastAsia="Yu Gothic UI" w:hAnsi="Arial" w:cs="Arial"/>
          <w:sz w:val="22"/>
          <w:szCs w:val="22"/>
        </w:rPr>
        <w:t>the inapplicability of the exception [for possession not in one</w:t>
      </w:r>
      <w:r w:rsidRPr="00BA72A6">
        <w:rPr>
          <w:rFonts w:ascii="Arial" w:eastAsia="Yu Gothic UI" w:hAnsi="Arial" w:cs="Arial"/>
          <w:sz w:val="22"/>
          <w:szCs w:val="22"/>
        </w:rPr>
        <w:sym w:font="WP TypographicSymbols" w:char="003D"/>
      </w:r>
      <w:r w:rsidRPr="00BA72A6">
        <w:rPr>
          <w:rFonts w:ascii="Arial" w:eastAsia="Yu Gothic UI" w:hAnsi="Arial" w:cs="Arial"/>
          <w:sz w:val="22"/>
          <w:szCs w:val="22"/>
        </w:rPr>
        <w:t>s home or place of business] is an element of the offense, and either the indictment or a special information must allege the fact that makes it inapplicable. But where the defendant has a previous conviction, the exception never comes into play, its inapplicability is not an element of the offense, and the indictment need not allude to it."</w:t>
      </w:r>
    </w:p>
    <w:p w14:paraId="0B3BC461" w14:textId="19DD6855" w:rsidR="00FF38B9" w:rsidRPr="00BA72A6" w:rsidRDefault="00FF38B9" w:rsidP="00BA72A6">
      <w:pPr>
        <w:ind w:firstLine="720"/>
        <w:jc w:val="both"/>
        <w:rPr>
          <w:rFonts w:ascii="Arial" w:eastAsia="Yu Gothic UI" w:hAnsi="Arial" w:cs="Arial"/>
          <w:sz w:val="22"/>
          <w:szCs w:val="22"/>
        </w:rPr>
      </w:pPr>
      <w:r w:rsidRPr="00BA72A6">
        <w:rPr>
          <w:rFonts w:ascii="Arial" w:eastAsia="Yu Gothic UI" w:hAnsi="Arial" w:cs="Arial"/>
          <w:sz w:val="22"/>
          <w:szCs w:val="22"/>
        </w:rPr>
        <w:t xml:space="preserve">The Court did not address the procedure to be followed when the possession takes place in the home or place of business of the defendant and the defendant denies the prior conviction.  While that procedure remains to be determined, if the determination is that it is an issue for the jury to resolve and the denial therefore constitutes a </w:t>
      </w:r>
      <w:r w:rsidRPr="00BA72A6">
        <w:rPr>
          <w:rFonts w:ascii="Arial" w:eastAsia="Yu Gothic UI" w:hAnsi="Arial" w:cs="Arial"/>
          <w:sz w:val="22"/>
          <w:szCs w:val="22"/>
        </w:rPr>
        <w:sym w:font="WP TypographicSymbols" w:char="0041"/>
      </w:r>
      <w:r w:rsidRPr="00BA72A6">
        <w:rPr>
          <w:rFonts w:ascii="Arial" w:eastAsia="Yu Gothic UI" w:hAnsi="Arial" w:cs="Arial"/>
          <w:sz w:val="22"/>
          <w:szCs w:val="22"/>
        </w:rPr>
        <w:t>defense</w:t>
      </w:r>
      <w:r w:rsidRPr="00BA72A6">
        <w:rPr>
          <w:rFonts w:ascii="Arial" w:eastAsia="Yu Gothic UI" w:hAnsi="Arial" w:cs="Arial"/>
          <w:sz w:val="22"/>
          <w:szCs w:val="22"/>
        </w:rPr>
        <w:sym w:font="WP TypographicSymbols" w:char="0040"/>
      </w:r>
      <w:r w:rsidRPr="00BA72A6">
        <w:rPr>
          <w:rFonts w:ascii="Arial" w:eastAsia="Yu Gothic UI" w:hAnsi="Arial" w:cs="Arial"/>
          <w:sz w:val="22"/>
          <w:szCs w:val="22"/>
        </w:rPr>
        <w:t xml:space="preserve"> to this degree of the crime, then, just before the section listing the elements, the charge should include the following paragraph:</w:t>
      </w:r>
    </w:p>
    <w:p w14:paraId="0EE97297" w14:textId="77777777" w:rsidR="00FF38B9" w:rsidRPr="00BA72A6" w:rsidRDefault="00FF38B9" w:rsidP="00BA72A6">
      <w:pPr>
        <w:ind w:left="720"/>
        <w:jc w:val="both"/>
        <w:rPr>
          <w:rFonts w:ascii="Arial" w:eastAsia="Yu Gothic UI" w:hAnsi="Arial" w:cs="Arial"/>
          <w:sz w:val="22"/>
          <w:szCs w:val="22"/>
        </w:rPr>
      </w:pPr>
      <w:r w:rsidRPr="00BA72A6">
        <w:rPr>
          <w:rFonts w:ascii="Arial" w:eastAsia="Yu Gothic UI" w:hAnsi="Arial" w:cs="Arial"/>
          <w:sz w:val="22"/>
          <w:szCs w:val="22"/>
        </w:rPr>
        <w:sym w:font="WP TypographicSymbols" w:char="0041"/>
      </w:r>
      <w:r w:rsidRPr="00BA72A6">
        <w:rPr>
          <w:rFonts w:ascii="Arial" w:eastAsia="Yu Gothic UI" w:hAnsi="Arial" w:cs="Arial"/>
          <w:sz w:val="22"/>
          <w:szCs w:val="22"/>
        </w:rPr>
        <w:t>It is a defense to this crime that the defendant has not been previously convicted of a crime.</w:t>
      </w:r>
      <w:r w:rsidRPr="00BA72A6">
        <w:rPr>
          <w:rFonts w:ascii="Arial" w:eastAsia="Yu Gothic UI" w:hAnsi="Arial" w:cs="Arial"/>
          <w:sz w:val="22"/>
          <w:szCs w:val="22"/>
        </w:rPr>
        <w:sym w:font="WP TypographicSymbols" w:char="0040"/>
      </w:r>
    </w:p>
    <w:p w14:paraId="2CDDCAEC" w14:textId="77777777" w:rsidR="00FF38B9" w:rsidRPr="00BA72A6" w:rsidRDefault="00FF38B9" w:rsidP="00BA72A6">
      <w:pPr>
        <w:jc w:val="both"/>
        <w:rPr>
          <w:rFonts w:ascii="Arial" w:eastAsia="Yu Gothic UI" w:hAnsi="Arial" w:cs="Arial"/>
          <w:sz w:val="22"/>
          <w:szCs w:val="22"/>
        </w:rPr>
      </w:pPr>
      <w:r w:rsidRPr="00BA72A6">
        <w:rPr>
          <w:rFonts w:ascii="Arial" w:eastAsia="Yu Gothic UI" w:hAnsi="Arial" w:cs="Arial"/>
          <w:sz w:val="22"/>
          <w:szCs w:val="22"/>
        </w:rPr>
        <w:t>And then the following element should be added to the list of elements:</w:t>
      </w:r>
    </w:p>
    <w:p w14:paraId="53BE7ED3" w14:textId="77777777" w:rsidR="00FF38B9" w:rsidRPr="00BA72A6" w:rsidRDefault="00FF38B9" w:rsidP="00BA72A6">
      <w:pPr>
        <w:ind w:left="720"/>
        <w:jc w:val="both"/>
        <w:rPr>
          <w:rFonts w:ascii="Arial" w:eastAsia="Yu Gothic UI" w:hAnsi="Arial" w:cs="Arial"/>
          <w:sz w:val="22"/>
          <w:szCs w:val="22"/>
        </w:rPr>
      </w:pPr>
      <w:r w:rsidRPr="00BA72A6">
        <w:rPr>
          <w:rFonts w:ascii="Arial" w:eastAsia="Yu Gothic UI" w:hAnsi="Arial" w:cs="Arial"/>
          <w:sz w:val="22"/>
          <w:szCs w:val="22"/>
        </w:rPr>
        <w:sym w:font="WP TypographicSymbols" w:char="0041"/>
      </w:r>
      <w:r w:rsidRPr="00BA72A6">
        <w:rPr>
          <w:rFonts w:ascii="Arial" w:eastAsia="Yu Gothic UI" w:hAnsi="Arial" w:cs="Arial"/>
          <w:sz w:val="22"/>
          <w:szCs w:val="22"/>
        </w:rPr>
        <w:t>4. That the defendant had been previously convicted of a crime.</w:t>
      </w:r>
      <w:r w:rsidRPr="00BA72A6">
        <w:rPr>
          <w:rFonts w:ascii="Arial" w:eastAsia="Yu Gothic UI" w:hAnsi="Arial" w:cs="Arial"/>
          <w:sz w:val="22"/>
          <w:szCs w:val="22"/>
        </w:rPr>
        <w:sym w:font="WP TypographicSymbols" w:char="0040"/>
      </w:r>
    </w:p>
    <w:p w14:paraId="4E143C3E" w14:textId="77777777" w:rsidR="00FF38B9" w:rsidRPr="00BA72A6" w:rsidRDefault="00FF38B9" w:rsidP="00BA72A6">
      <w:pPr>
        <w:spacing w:after="240"/>
        <w:jc w:val="both"/>
        <w:rPr>
          <w:rFonts w:ascii="Arial" w:eastAsia="Yu Gothic UI" w:hAnsi="Arial" w:cs="Arial"/>
          <w:sz w:val="22"/>
          <w:szCs w:val="22"/>
        </w:rPr>
      </w:pPr>
    </w:p>
  </w:footnote>
  <w:footnote w:id="2">
    <w:p w14:paraId="7957FD52" w14:textId="77777777" w:rsidR="00FF38B9" w:rsidRPr="001C5240" w:rsidRDefault="00FF38B9" w:rsidP="00BA72A6">
      <w:pPr>
        <w:spacing w:after="240"/>
        <w:ind w:firstLine="720"/>
        <w:jc w:val="both"/>
        <w:rPr>
          <w:rFonts w:ascii="Arial" w:eastAsia="Yu Gothic UI" w:hAnsi="Arial" w:cs="Arial"/>
          <w:sz w:val="22"/>
          <w:szCs w:val="22"/>
        </w:rPr>
      </w:pPr>
      <w:r w:rsidRPr="00BA72A6">
        <w:rPr>
          <w:rFonts w:ascii="Arial" w:eastAsia="Yu Gothic UI" w:hAnsi="Arial" w:cs="Arial"/>
          <w:sz w:val="22"/>
          <w:szCs w:val="22"/>
          <w:vertAlign w:val="superscript"/>
        </w:rPr>
        <w:t>2</w:t>
      </w:r>
      <w:r w:rsidRPr="00BA72A6">
        <w:rPr>
          <w:rFonts w:ascii="Arial" w:eastAsia="Yu Gothic UI" w:hAnsi="Arial" w:cs="Arial"/>
          <w:sz w:val="22"/>
          <w:szCs w:val="22"/>
        </w:rPr>
        <w:t xml:space="preserve"> This offense was formerly Penal Law </w:t>
      </w:r>
      <w:r w:rsidRPr="00BA72A6">
        <w:rPr>
          <w:rFonts w:ascii="Arial" w:eastAsia="Yu Gothic UI" w:hAnsi="Arial" w:cs="Arial"/>
          <w:sz w:val="22"/>
          <w:szCs w:val="22"/>
        </w:rPr>
        <w:sym w:font="WP TypographicSymbols" w:char="0027"/>
      </w:r>
      <w:r w:rsidRPr="00BA72A6">
        <w:rPr>
          <w:rFonts w:ascii="Arial" w:eastAsia="Yu Gothic UI" w:hAnsi="Arial" w:cs="Arial"/>
          <w:sz w:val="22"/>
          <w:szCs w:val="22"/>
        </w:rPr>
        <w:t xml:space="preserve"> 265.02 (4), a class D felony, which was repealed by L 2006, ch 742, </w:t>
      </w:r>
      <w:r w:rsidRPr="00BA72A6">
        <w:rPr>
          <w:rFonts w:ascii="Arial" w:eastAsia="Yu Gothic UI" w:hAnsi="Arial" w:cs="Arial"/>
          <w:sz w:val="22"/>
          <w:szCs w:val="22"/>
        </w:rPr>
        <w:sym w:font="WP TypographicSymbols" w:char="0027"/>
      </w:r>
      <w:r w:rsidRPr="00BA72A6">
        <w:rPr>
          <w:rFonts w:ascii="Arial" w:eastAsia="Yu Gothic UI" w:hAnsi="Arial" w:cs="Arial"/>
          <w:sz w:val="22"/>
          <w:szCs w:val="22"/>
        </w:rPr>
        <w:t xml:space="preserve"> 1, eff. Nov. 1, 2006, and reenacted in the same </w:t>
      </w:r>
      <w:r w:rsidRPr="001C5240">
        <w:rPr>
          <w:rFonts w:ascii="Arial" w:eastAsia="Yu Gothic UI" w:hAnsi="Arial" w:cs="Arial"/>
          <w:sz w:val="22"/>
          <w:szCs w:val="22"/>
        </w:rPr>
        <w:t xml:space="preserve">legislation as Penal Law </w:t>
      </w:r>
      <w:r w:rsidRPr="001C5240">
        <w:rPr>
          <w:rFonts w:ascii="Arial" w:eastAsia="Yu Gothic UI" w:hAnsi="Arial" w:cs="Arial"/>
          <w:sz w:val="22"/>
          <w:szCs w:val="22"/>
        </w:rPr>
        <w:sym w:font="WP TypographicSymbols" w:char="0027"/>
      </w:r>
      <w:r w:rsidRPr="001C5240">
        <w:rPr>
          <w:rFonts w:ascii="Arial" w:eastAsia="Yu Gothic UI" w:hAnsi="Arial" w:cs="Arial"/>
          <w:sz w:val="22"/>
          <w:szCs w:val="22"/>
        </w:rPr>
        <w:t xml:space="preserve"> 265.03, a Class C felony.</w:t>
      </w:r>
    </w:p>
  </w:footnote>
  <w:footnote w:id="3">
    <w:p w14:paraId="164DE063" w14:textId="49373FAF" w:rsidR="004E6739" w:rsidRDefault="004E6739" w:rsidP="001C5240">
      <w:pPr>
        <w:pStyle w:val="FootnoteText"/>
        <w:ind w:firstLine="720"/>
        <w:jc w:val="both"/>
      </w:pPr>
      <w:r w:rsidRPr="001C5240">
        <w:rPr>
          <w:rStyle w:val="FootnoteReference"/>
          <w:rFonts w:ascii="Arial" w:hAnsi="Arial" w:cs="Arial"/>
          <w:sz w:val="22"/>
          <w:szCs w:val="22"/>
          <w:vertAlign w:val="superscript"/>
        </w:rPr>
        <w:footnoteRef/>
      </w:r>
      <w:r w:rsidRPr="001C5240">
        <w:rPr>
          <w:rFonts w:ascii="Arial" w:hAnsi="Arial" w:cs="Arial"/>
          <w:sz w:val="22"/>
          <w:szCs w:val="22"/>
        </w:rPr>
        <w:t xml:space="preserve"> </w:t>
      </w:r>
      <w:r w:rsidR="00222977" w:rsidRPr="001C5240">
        <w:rPr>
          <w:rFonts w:ascii="Arial" w:hAnsi="Arial" w:cs="Arial"/>
          <w:sz w:val="22"/>
          <w:szCs w:val="22"/>
        </w:rPr>
        <w:t xml:space="preserve">The December 2022 revision was for the purpose of revising the </w:t>
      </w:r>
      <w:r w:rsidR="001C5240" w:rsidRPr="001C5240">
        <w:rPr>
          <w:rFonts w:ascii="Arial" w:hAnsi="Arial" w:cs="Arial"/>
          <w:sz w:val="22"/>
          <w:szCs w:val="22"/>
        </w:rPr>
        <w:t xml:space="preserve">instruction on the </w:t>
      </w:r>
      <w:r w:rsidR="00222977" w:rsidRPr="001C5240">
        <w:rPr>
          <w:rFonts w:ascii="Arial" w:hAnsi="Arial" w:cs="Arial"/>
          <w:sz w:val="22"/>
          <w:szCs w:val="22"/>
        </w:rPr>
        <w:t xml:space="preserve">definition of “knowingly” </w:t>
      </w:r>
      <w:r w:rsidR="001C5240" w:rsidRPr="001C5240">
        <w:rPr>
          <w:rFonts w:ascii="Arial" w:hAnsi="Arial" w:cs="Arial"/>
          <w:sz w:val="22"/>
          <w:szCs w:val="22"/>
        </w:rPr>
        <w:t>to better state the applicable law.</w:t>
      </w:r>
    </w:p>
  </w:footnote>
  <w:footnote w:id="4">
    <w:p w14:paraId="3F9E3B15" w14:textId="08B39228" w:rsidR="00FF38B9" w:rsidRDefault="00FF38B9" w:rsidP="00BA72A6">
      <w:pPr>
        <w:ind w:firstLine="720"/>
        <w:jc w:val="both"/>
        <w:rPr>
          <w:rFonts w:ascii="Arial" w:hAnsi="Arial" w:cs="Arial"/>
          <w:spacing w:val="-2"/>
          <w:sz w:val="22"/>
          <w:szCs w:val="22"/>
        </w:rPr>
      </w:pPr>
      <w:r w:rsidRPr="00BA72A6">
        <w:rPr>
          <w:rFonts w:ascii="Arial" w:eastAsia="Yu Gothic UI" w:hAnsi="Arial" w:cs="Arial"/>
          <w:sz w:val="22"/>
          <w:szCs w:val="22"/>
          <w:vertAlign w:val="superscript"/>
        </w:rPr>
        <w:t>3</w:t>
      </w:r>
      <w:r w:rsidR="00BA72A6">
        <w:rPr>
          <w:rFonts w:ascii="Arial" w:eastAsia="Yu Gothic UI" w:hAnsi="Arial" w:cs="Arial"/>
          <w:sz w:val="22"/>
          <w:szCs w:val="22"/>
          <w:vertAlign w:val="superscript"/>
        </w:rPr>
        <w:t xml:space="preserve"> </w:t>
      </w:r>
      <w:r w:rsidRPr="00BA72A6">
        <w:rPr>
          <w:rFonts w:ascii="Arial" w:eastAsia="Yu Gothic UI" w:hAnsi="Arial" w:cs="Arial"/>
          <w:sz w:val="22"/>
          <w:szCs w:val="22"/>
        </w:rPr>
        <w:t>.</w:t>
      </w:r>
      <w:r w:rsidR="00BA72A6" w:rsidRPr="00BA72A6">
        <w:rPr>
          <w:rFonts w:ascii="Arial" w:hAnsi="Arial" w:cs="Arial"/>
          <w:spacing w:val="-2"/>
          <w:sz w:val="22"/>
          <w:szCs w:val="22"/>
        </w:rPr>
        <w:t xml:space="preserve"> The word "knowingly" has been added to this definition to comport with statutory law (</w:t>
      </w:r>
      <w:r w:rsidR="00BA72A6" w:rsidRPr="00BA72A6">
        <w:rPr>
          <w:rFonts w:ascii="Arial" w:hAnsi="Arial" w:cs="Arial"/>
          <w:i/>
          <w:spacing w:val="-2"/>
          <w:sz w:val="22"/>
          <w:szCs w:val="22"/>
        </w:rPr>
        <w:t xml:space="preserve">see </w:t>
      </w:r>
      <w:r w:rsidR="00BA72A6" w:rsidRPr="00BA72A6">
        <w:rPr>
          <w:rFonts w:ascii="Arial" w:hAnsi="Arial" w:cs="Arial"/>
          <w:spacing w:val="-2"/>
          <w:sz w:val="22"/>
          <w:szCs w:val="22"/>
        </w:rPr>
        <w:t xml:space="preserve">Penal Law § § 15.00(2) and 15.05 [2]) and with case law.   </w:t>
      </w:r>
      <w:r w:rsidR="00BA72A6" w:rsidRPr="00BA72A6">
        <w:rPr>
          <w:rFonts w:ascii="Arial" w:hAnsi="Arial" w:cs="Arial"/>
          <w:i/>
          <w:iCs/>
          <w:spacing w:val="-2"/>
          <w:sz w:val="22"/>
          <w:szCs w:val="22"/>
        </w:rPr>
        <w:t>People v Persce</w:t>
      </w:r>
      <w:r w:rsidR="00BA72A6" w:rsidRPr="00BA72A6">
        <w:rPr>
          <w:rFonts w:ascii="Arial" w:hAnsi="Arial" w:cs="Arial"/>
          <w:i/>
          <w:spacing w:val="-2"/>
          <w:sz w:val="22"/>
          <w:szCs w:val="22"/>
        </w:rPr>
        <w:t xml:space="preserve">, </w:t>
      </w:r>
      <w:r w:rsidR="00BA72A6" w:rsidRPr="00BA72A6">
        <w:rPr>
          <w:rFonts w:ascii="Arial" w:hAnsi="Arial" w:cs="Arial"/>
          <w:iCs/>
          <w:spacing w:val="-2"/>
          <w:sz w:val="22"/>
          <w:szCs w:val="22"/>
        </w:rPr>
        <w:t xml:space="preserve">204 NY 397, 402 (1912) ("the possession [of a slungshot] which is meant is a knowing and voluntary one"); </w:t>
      </w:r>
      <w:r w:rsidR="00BA72A6" w:rsidRPr="00BA72A6">
        <w:rPr>
          <w:rFonts w:ascii="Arial" w:hAnsi="Arial" w:cs="Arial"/>
          <w:i/>
          <w:iCs/>
          <w:spacing w:val="-2"/>
          <w:sz w:val="22"/>
          <w:szCs w:val="22"/>
        </w:rPr>
        <w:t>People v Saunders</w:t>
      </w:r>
      <w:r w:rsidR="00BA72A6" w:rsidRPr="00BA72A6">
        <w:rPr>
          <w:rFonts w:ascii="Arial" w:hAnsi="Arial" w:cs="Arial"/>
          <w:i/>
          <w:spacing w:val="-2"/>
          <w:sz w:val="22"/>
          <w:szCs w:val="22"/>
        </w:rPr>
        <w:t xml:space="preserve">, </w:t>
      </w:r>
      <w:r w:rsidR="00BA72A6" w:rsidRPr="00BA72A6">
        <w:rPr>
          <w:rFonts w:ascii="Arial" w:hAnsi="Arial" w:cs="Arial"/>
          <w:iCs/>
          <w:spacing w:val="-2"/>
          <w:sz w:val="22"/>
          <w:szCs w:val="22"/>
        </w:rPr>
        <w:t xml:space="preserve">85 NY2d 339, 341-42 (1995) ("’Possession,’ as part of the forbidden act, includes the Penal Law definitional component of ‘[v]oluntary act,’ which incorporates the attribute of awareness of the possession or control . . . .  Thus, the corpus delicti of weapons possession . . . is the voluntary, aware act of the possession of a weapon"); </w:t>
      </w:r>
      <w:r w:rsidR="00BA72A6" w:rsidRPr="00BA72A6">
        <w:rPr>
          <w:rFonts w:ascii="Arial" w:hAnsi="Arial" w:cs="Arial"/>
          <w:i/>
          <w:spacing w:val="-2"/>
          <w:sz w:val="22"/>
          <w:szCs w:val="22"/>
        </w:rPr>
        <w:t xml:space="preserve">People v Ford, </w:t>
      </w:r>
      <w:r w:rsidR="00BA72A6" w:rsidRPr="00BA72A6">
        <w:rPr>
          <w:rFonts w:ascii="Arial" w:hAnsi="Arial" w:cs="Arial"/>
          <w:spacing w:val="-2"/>
          <w:sz w:val="22"/>
          <w:szCs w:val="22"/>
        </w:rPr>
        <w:t>66 NY2d 428, 440 (1985) (the offense of possession of a loaded firearm requires that the possession be knowing).</w:t>
      </w:r>
    </w:p>
    <w:p w14:paraId="6BFAC1B3" w14:textId="77777777" w:rsidR="00BA72A6" w:rsidRPr="00BA72A6" w:rsidRDefault="00BA72A6" w:rsidP="00BA72A6">
      <w:pPr>
        <w:ind w:firstLine="720"/>
        <w:jc w:val="both"/>
        <w:rPr>
          <w:rFonts w:ascii="Arial" w:eastAsia="Yu Gothic UI" w:hAnsi="Arial" w:cs="Arial"/>
          <w:sz w:val="22"/>
          <w:szCs w:val="22"/>
        </w:rPr>
      </w:pPr>
    </w:p>
  </w:footnote>
  <w:footnote w:id="5">
    <w:p w14:paraId="344D7E0E" w14:textId="61E6F14A" w:rsidR="00FF38B9" w:rsidRDefault="00FF38B9" w:rsidP="00BA72A6">
      <w:pPr>
        <w:ind w:firstLine="720"/>
        <w:jc w:val="both"/>
        <w:rPr>
          <w:rFonts w:ascii="Arial" w:hAnsi="Arial" w:cs="Arial"/>
          <w:sz w:val="22"/>
          <w:szCs w:val="22"/>
        </w:rPr>
      </w:pPr>
      <w:r w:rsidRPr="00BA72A6">
        <w:rPr>
          <w:rFonts w:ascii="Arial" w:eastAsia="Yu Gothic UI" w:hAnsi="Arial" w:cs="Arial"/>
          <w:sz w:val="22"/>
          <w:szCs w:val="22"/>
          <w:vertAlign w:val="superscript"/>
        </w:rPr>
        <w:t xml:space="preserve">4 </w:t>
      </w:r>
      <w:r w:rsidRPr="00BA72A6">
        <w:rPr>
          <w:rFonts w:ascii="Arial" w:eastAsia="Yu Gothic UI" w:hAnsi="Arial" w:cs="Arial"/>
          <w:sz w:val="22"/>
          <w:szCs w:val="22"/>
        </w:rPr>
        <w:t xml:space="preserve">Penal Law </w:t>
      </w:r>
      <w:r w:rsidRPr="00BA72A6">
        <w:rPr>
          <w:rFonts w:ascii="Arial" w:eastAsia="Yu Gothic UI" w:hAnsi="Arial" w:cs="Arial"/>
          <w:sz w:val="22"/>
          <w:szCs w:val="22"/>
        </w:rPr>
        <w:sym w:font="WP TypographicSymbols" w:char="0027"/>
      </w:r>
      <w:r w:rsidRPr="00BA72A6">
        <w:rPr>
          <w:rFonts w:ascii="Arial" w:eastAsia="Yu Gothic UI" w:hAnsi="Arial" w:cs="Arial"/>
          <w:sz w:val="22"/>
          <w:szCs w:val="22"/>
        </w:rPr>
        <w:t xml:space="preserve">  265.00 (3). </w:t>
      </w:r>
      <w:r w:rsidR="00BA72A6" w:rsidRPr="00BA72A6">
        <w:rPr>
          <w:rFonts w:ascii="Arial" w:hAnsi="Arial" w:cs="Arial"/>
          <w:sz w:val="22"/>
          <w:szCs w:val="22"/>
        </w:rPr>
        <w:t xml:space="preserve">The statutory definition of a “firearm” includes other weapons.  If, therefore, a firearm, other than a pistol or revolver, is in issue, see </w:t>
      </w:r>
      <w:r w:rsidR="00BA72A6" w:rsidRPr="00BA72A6">
        <w:rPr>
          <w:rFonts w:ascii="Arial" w:hAnsi="Arial" w:cs="Arial"/>
          <w:b/>
          <w:bCs/>
          <w:sz w:val="22"/>
          <w:szCs w:val="22"/>
        </w:rPr>
        <w:t>“</w:t>
      </w:r>
      <w:r w:rsidR="00BA72A6" w:rsidRPr="00BA72A6">
        <w:rPr>
          <w:rFonts w:ascii="Arial" w:hAnsi="Arial" w:cs="Arial"/>
          <w:sz w:val="22"/>
          <w:szCs w:val="22"/>
        </w:rPr>
        <w:t>DEFINITION OF FIREARM AS OTHER THAN A PISTOL OR REVOLVER” in</w:t>
      </w:r>
      <w:r w:rsidR="00BA72A6" w:rsidRPr="00BA72A6">
        <w:rPr>
          <w:rFonts w:ascii="Arial" w:hAnsi="Arial" w:cs="Arial"/>
          <w:b/>
          <w:bCs/>
          <w:sz w:val="22"/>
          <w:szCs w:val="22"/>
        </w:rPr>
        <w:t xml:space="preserve"> </w:t>
      </w:r>
      <w:r w:rsidR="00BA72A6" w:rsidRPr="00BA72A6">
        <w:rPr>
          <w:rFonts w:ascii="Arial" w:hAnsi="Arial" w:cs="Arial"/>
          <w:sz w:val="22"/>
          <w:szCs w:val="22"/>
        </w:rPr>
        <w:t>"Additional Charges” at the end of the Table of Contents for Penal Law article 265 crimes.</w:t>
      </w:r>
    </w:p>
    <w:p w14:paraId="73C396BF" w14:textId="77777777" w:rsidR="00BA72A6" w:rsidRPr="00BA72A6" w:rsidRDefault="00BA72A6" w:rsidP="00BA72A6">
      <w:pPr>
        <w:jc w:val="both"/>
        <w:rPr>
          <w:rFonts w:ascii="Arial" w:eastAsia="Yu Gothic UI" w:hAnsi="Arial" w:cs="Arial"/>
          <w:sz w:val="22"/>
          <w:szCs w:val="22"/>
        </w:rPr>
      </w:pPr>
    </w:p>
  </w:footnote>
  <w:footnote w:id="6">
    <w:p w14:paraId="6DECEA59" w14:textId="54CC5B4A" w:rsidR="00FF38B9" w:rsidRPr="00BA72A6" w:rsidRDefault="00FF38B9" w:rsidP="00BA72A6">
      <w:pPr>
        <w:spacing w:after="240"/>
        <w:ind w:firstLine="720"/>
        <w:jc w:val="both"/>
        <w:rPr>
          <w:rFonts w:ascii="Arial" w:eastAsia="Yu Gothic UI" w:hAnsi="Arial" w:cs="Arial"/>
          <w:sz w:val="22"/>
          <w:szCs w:val="22"/>
        </w:rPr>
      </w:pPr>
      <w:r w:rsidRPr="00BA72A6">
        <w:rPr>
          <w:rFonts w:ascii="Arial" w:eastAsia="Yu Gothic UI" w:hAnsi="Arial" w:cs="Arial"/>
          <w:sz w:val="22"/>
          <w:szCs w:val="22"/>
          <w:vertAlign w:val="superscript"/>
        </w:rPr>
        <w:t>6</w:t>
      </w:r>
      <w:r w:rsidRPr="00BA72A6">
        <w:rPr>
          <w:rFonts w:ascii="Arial" w:eastAsia="Yu Gothic UI" w:hAnsi="Arial" w:cs="Arial"/>
          <w:i/>
          <w:iCs/>
          <w:sz w:val="22"/>
          <w:szCs w:val="22"/>
        </w:rPr>
        <w:t xml:space="preserve"> See </w:t>
      </w:r>
      <w:r w:rsidRPr="00BA72A6">
        <w:rPr>
          <w:rFonts w:ascii="Arial" w:eastAsia="Yu Gothic UI" w:hAnsi="Arial" w:cs="Arial"/>
          <w:sz w:val="22"/>
          <w:szCs w:val="22"/>
        </w:rPr>
        <w:t xml:space="preserve">Penal Law </w:t>
      </w:r>
      <w:r w:rsidRPr="00BA72A6">
        <w:rPr>
          <w:rFonts w:ascii="Arial" w:eastAsia="Yu Gothic UI" w:hAnsi="Arial" w:cs="Arial"/>
          <w:sz w:val="22"/>
          <w:szCs w:val="22"/>
        </w:rPr>
        <w:sym w:font="WP TypographicSymbols" w:char="0027"/>
      </w:r>
      <w:r w:rsidRPr="00BA72A6">
        <w:rPr>
          <w:rFonts w:ascii="Arial" w:eastAsia="Yu Gothic UI" w:hAnsi="Arial" w:cs="Arial"/>
          <w:sz w:val="22"/>
          <w:szCs w:val="22"/>
        </w:rPr>
        <w:t xml:space="preserve"> 265.00 (15)</w:t>
      </w:r>
      <w:r w:rsidR="001C7E2E">
        <w:rPr>
          <w:rFonts w:ascii="Arial" w:eastAsia="Yu Gothic UI" w:hAnsi="Arial" w:cs="Arial"/>
          <w:sz w:val="22"/>
          <w:szCs w:val="22"/>
        </w:rPr>
        <w:t xml:space="preserve"> and footnote 5.</w:t>
      </w:r>
    </w:p>
  </w:footnote>
  <w:footnote w:id="7">
    <w:p w14:paraId="34E74E1F" w14:textId="77777777" w:rsidR="00FF38B9" w:rsidRPr="00BA72A6" w:rsidRDefault="00FF38B9" w:rsidP="00BA72A6">
      <w:pPr>
        <w:spacing w:after="240"/>
        <w:ind w:firstLine="720"/>
        <w:jc w:val="both"/>
        <w:rPr>
          <w:rFonts w:ascii="Arial" w:eastAsia="Yu Gothic UI" w:hAnsi="Arial" w:cs="Arial"/>
          <w:sz w:val="22"/>
          <w:szCs w:val="22"/>
        </w:rPr>
      </w:pPr>
      <w:r w:rsidRPr="00BA72A6">
        <w:rPr>
          <w:rFonts w:ascii="Arial" w:eastAsia="Yu Gothic UI" w:hAnsi="Arial" w:cs="Arial"/>
          <w:sz w:val="22"/>
          <w:szCs w:val="22"/>
          <w:vertAlign w:val="superscript"/>
        </w:rPr>
        <w:t>7</w:t>
      </w:r>
      <w:r w:rsidRPr="00BA72A6">
        <w:rPr>
          <w:rFonts w:ascii="Arial" w:eastAsia="Yu Gothic UI" w:hAnsi="Arial" w:cs="Arial"/>
          <w:i/>
          <w:iCs/>
          <w:sz w:val="22"/>
          <w:szCs w:val="22"/>
        </w:rPr>
        <w:t xml:space="preserve"> See</w:t>
      </w:r>
      <w:r w:rsidRPr="00BA72A6">
        <w:rPr>
          <w:rFonts w:ascii="Arial" w:eastAsia="Yu Gothic UI" w:hAnsi="Arial" w:cs="Arial"/>
          <w:sz w:val="22"/>
          <w:szCs w:val="22"/>
        </w:rPr>
        <w:t xml:space="preserve"> Penal Law </w:t>
      </w:r>
      <w:r w:rsidRPr="00BA72A6">
        <w:rPr>
          <w:rFonts w:ascii="Arial" w:eastAsia="Yu Gothic UI" w:hAnsi="Arial" w:cs="Arial"/>
          <w:sz w:val="22"/>
          <w:szCs w:val="22"/>
        </w:rPr>
        <w:sym w:font="WP TypographicSymbols" w:char="0027"/>
      </w:r>
      <w:r w:rsidRPr="00BA72A6">
        <w:rPr>
          <w:rFonts w:ascii="Arial" w:eastAsia="Yu Gothic UI" w:hAnsi="Arial" w:cs="Arial"/>
          <w:sz w:val="22"/>
          <w:szCs w:val="22"/>
        </w:rPr>
        <w:t xml:space="preserve"> 10.00 (8).  Where constructive possession is alleged, or where the People rely on a statutory presumption of possession, insert the appropriate instruction from the "Additional Charges" section at the end of this chapter.</w:t>
      </w:r>
    </w:p>
  </w:footnote>
  <w:footnote w:id="8">
    <w:p w14:paraId="358B0EED" w14:textId="77777777" w:rsidR="00D814F2" w:rsidRDefault="00D814F2" w:rsidP="00D814F2">
      <w:pPr>
        <w:pStyle w:val="FootnoteText"/>
        <w:ind w:firstLine="720"/>
        <w:jc w:val="both"/>
        <w:rPr>
          <w:rFonts w:ascii="Arial" w:hAnsi="Arial" w:cs="Arial"/>
          <w:sz w:val="22"/>
          <w:szCs w:val="22"/>
        </w:rPr>
      </w:pPr>
      <w:r w:rsidRPr="00262D97">
        <w:rPr>
          <w:rStyle w:val="FootnoteReference"/>
          <w:rFonts w:ascii="Arial" w:hAnsi="Arial" w:cs="Arial"/>
          <w:sz w:val="22"/>
          <w:szCs w:val="22"/>
        </w:rPr>
        <w:footnoteRef/>
      </w:r>
      <w:r w:rsidRPr="00262D97">
        <w:rPr>
          <w:rFonts w:ascii="Arial" w:hAnsi="Arial" w:cs="Arial"/>
          <w:sz w:val="22"/>
          <w:szCs w:val="22"/>
        </w:rPr>
        <w:t xml:space="preserve"> </w:t>
      </w:r>
      <w:r w:rsidRPr="003B07B1">
        <w:rPr>
          <w:rFonts w:ascii="Arial" w:hAnsi="Arial" w:cs="Arial"/>
          <w:i/>
          <w:iCs/>
          <w:sz w:val="22"/>
          <w:szCs w:val="22"/>
        </w:rPr>
        <w:t xml:space="preserve">See </w:t>
      </w:r>
      <w:r w:rsidRPr="00262D97">
        <w:rPr>
          <w:rFonts w:ascii="Arial" w:hAnsi="Arial" w:cs="Arial"/>
          <w:sz w:val="22"/>
          <w:szCs w:val="22"/>
        </w:rPr>
        <w:t>Penal Law § 15.05(2). For an expanded instruction on the definition of “knowingly,” see Instructions of General Applicability, Culpable Mental States, Knowingly.</w:t>
      </w:r>
    </w:p>
    <w:p w14:paraId="32C866C0" w14:textId="77777777" w:rsidR="00D814F2" w:rsidRDefault="00D814F2" w:rsidP="00D814F2">
      <w:pPr>
        <w:pStyle w:val="FootnoteText"/>
        <w:ind w:firstLine="720"/>
        <w:jc w:val="both"/>
      </w:pPr>
    </w:p>
  </w:footnote>
  <w:footnote w:id="9">
    <w:p w14:paraId="4D1AA69F" w14:textId="77777777" w:rsidR="00D814F2" w:rsidRPr="005531E4" w:rsidRDefault="00D814F2" w:rsidP="00D814F2">
      <w:pPr>
        <w:ind w:firstLine="720"/>
        <w:jc w:val="both"/>
        <w:rPr>
          <w:rFonts w:ascii="Arial" w:eastAsia="Times New Roman" w:hAnsi="Arial" w:cs="Arial"/>
          <w:sz w:val="22"/>
          <w:szCs w:val="22"/>
        </w:rPr>
      </w:pPr>
      <w:r>
        <w:rPr>
          <w:rStyle w:val="FootnoteReference"/>
        </w:rPr>
        <w:footnoteRef/>
      </w:r>
      <w:r>
        <w:t xml:space="preserve"> </w:t>
      </w:r>
      <w:r w:rsidRPr="005531E4">
        <w:rPr>
          <w:rFonts w:ascii="Arial" w:eastAsia="Yu Gothic UI" w:hAnsi="Arial" w:cs="Arial"/>
          <w:i/>
          <w:iCs/>
          <w:sz w:val="22"/>
          <w:szCs w:val="22"/>
        </w:rPr>
        <w:t>See</w:t>
      </w:r>
      <w:r w:rsidRPr="005531E4">
        <w:rPr>
          <w:rFonts w:ascii="Arial" w:eastAsia="Yu Gothic UI" w:hAnsi="Arial" w:cs="Arial"/>
          <w:sz w:val="22"/>
          <w:szCs w:val="22"/>
        </w:rPr>
        <w:t xml:space="preserve"> </w:t>
      </w:r>
      <w:r w:rsidRPr="005531E4">
        <w:rPr>
          <w:rFonts w:ascii="Arial" w:hAnsi="Arial" w:cs="Arial"/>
          <w:i/>
          <w:spacing w:val="-2"/>
          <w:sz w:val="22"/>
          <w:szCs w:val="22"/>
        </w:rPr>
        <w:t>People v Parrilla</w:t>
      </w:r>
      <w:r w:rsidRPr="005531E4">
        <w:rPr>
          <w:rFonts w:ascii="Arial" w:hAnsi="Arial" w:cs="Arial"/>
          <w:spacing w:val="-2"/>
          <w:sz w:val="22"/>
          <w:szCs w:val="22"/>
        </w:rPr>
        <w:t xml:space="preserve">, 27 N.Y.3d 400, 405 (2016) (when possession of </w:t>
      </w:r>
      <w:r w:rsidRPr="005531E4">
        <w:rPr>
          <w:rFonts w:ascii="Arial" w:eastAsia="Times New Roman" w:hAnsi="Arial" w:cs="Arial"/>
          <w:sz w:val="22"/>
          <w:szCs w:val="22"/>
        </w:rPr>
        <w:t xml:space="preserve">a gravity knife was a crime, defendants were required to know that “they possessed a knife” but the People were not required “to prove that defendants knew that the knife in their possession met the statutory definition of a gravity knife”); </w:t>
      </w:r>
      <w:r w:rsidRPr="005531E4">
        <w:rPr>
          <w:rFonts w:ascii="Arial" w:eastAsia="Times New Roman" w:hAnsi="Arial" w:cs="Arial"/>
          <w:i/>
          <w:iCs/>
          <w:sz w:val="22"/>
          <w:szCs w:val="22"/>
        </w:rPr>
        <w:t>People v Hernandez</w:t>
      </w:r>
      <w:r w:rsidRPr="005531E4">
        <w:rPr>
          <w:rFonts w:ascii="Arial" w:eastAsia="Times New Roman" w:hAnsi="Arial" w:cs="Arial"/>
          <w:sz w:val="22"/>
          <w:szCs w:val="22"/>
        </w:rPr>
        <w:t xml:space="preserve">, 180 AD3d 1234, 1237 (3d Dept 2020) (“Contrary to defendant's contention, the court was not required to instruct the jury that the People were required to show that defendant was aware of the legal definition of a blackjack. The characteristics of the blackjack at issue—a lead core, surrounded by leather, which is flexible and used as a weapon—make ‘the inherently dangerous nature of the prohibited object be readily apparent, so as to put [defendant] on clear notice that the object is potentially subject to government regulation or prohibition’ . . . .  Accordingly, the People did not have to prove that defendant was aware of the statutory definition of a blackjack”); </w:t>
      </w:r>
      <w:r w:rsidRPr="005531E4">
        <w:rPr>
          <w:rFonts w:ascii="Arial" w:eastAsia="Times New Roman" w:hAnsi="Arial" w:cs="Arial"/>
          <w:i/>
          <w:iCs/>
          <w:sz w:val="22"/>
          <w:szCs w:val="22"/>
        </w:rPr>
        <w:t>People v Steinmetz</w:t>
      </w:r>
      <w:r w:rsidRPr="005531E4">
        <w:rPr>
          <w:rFonts w:ascii="Arial" w:eastAsia="Times New Roman" w:hAnsi="Arial" w:cs="Arial"/>
          <w:sz w:val="22"/>
          <w:szCs w:val="22"/>
        </w:rPr>
        <w:t xml:space="preserve">, 177 AD3d 1292, 1293 (4th Dept 2019) ("The People were not required to establish that defendant knew the rifles met the statutory criteria of an assault weapon but, rather, only that he knowingly possessed the rifles"); </w:t>
      </w:r>
      <w:r w:rsidRPr="005531E4">
        <w:rPr>
          <w:rFonts w:ascii="Arial" w:eastAsia="Times New Roman" w:hAnsi="Arial" w:cs="Arial"/>
          <w:i/>
          <w:iCs/>
          <w:sz w:val="22"/>
          <w:szCs w:val="22"/>
        </w:rPr>
        <w:t>People v Abdullah</w:t>
      </w:r>
      <w:r w:rsidRPr="005531E4">
        <w:rPr>
          <w:rFonts w:ascii="Arial" w:eastAsia="Times New Roman" w:hAnsi="Arial" w:cs="Arial"/>
          <w:sz w:val="22"/>
          <w:szCs w:val="22"/>
        </w:rPr>
        <w:t>, 206 AD3d 1340, 1344 (3d Dept 2022) (knowing possession of a slungshot is required but a defendant need not know the dictionary definition of slungshot).</w:t>
      </w:r>
    </w:p>
    <w:p w14:paraId="1276F78F" w14:textId="77777777" w:rsidR="00D814F2" w:rsidRDefault="00D814F2" w:rsidP="00D814F2">
      <w:pPr>
        <w:pStyle w:val="FootnoteText"/>
      </w:pPr>
    </w:p>
    <w:p w14:paraId="7903DB99" w14:textId="77777777" w:rsidR="00D814F2" w:rsidRDefault="00D814F2" w:rsidP="00D814F2">
      <w:pPr>
        <w:pStyle w:val="FootnoteText"/>
      </w:pPr>
    </w:p>
  </w:footnote>
  <w:footnote w:id="10">
    <w:p w14:paraId="66EF2C39" w14:textId="047884EE" w:rsidR="005D3EB9" w:rsidRDefault="00393EBA" w:rsidP="005D3EB9">
      <w:pPr>
        <w:ind w:firstLine="720"/>
        <w:jc w:val="both"/>
        <w:rPr>
          <w:rFonts w:ascii="Arial" w:hAnsi="Arial" w:cs="Arial"/>
          <w:sz w:val="22"/>
          <w:szCs w:val="22"/>
        </w:rPr>
      </w:pPr>
      <w:r>
        <w:rPr>
          <w:rFonts w:ascii="Arial" w:eastAsia="Yu Gothic UI" w:hAnsi="Arial" w:cs="Arial"/>
          <w:sz w:val="22"/>
          <w:szCs w:val="22"/>
          <w:vertAlign w:val="superscript"/>
        </w:rPr>
        <w:t>10</w:t>
      </w:r>
      <w:r w:rsidR="005D3EB9">
        <w:rPr>
          <w:rFonts w:ascii="Arial" w:eastAsia="Yu Gothic UI" w:hAnsi="Arial" w:cs="Arial"/>
          <w:sz w:val="22"/>
          <w:szCs w:val="22"/>
          <w:vertAlign w:val="superscript"/>
        </w:rPr>
        <w:t xml:space="preserve">  </w:t>
      </w:r>
      <w:r w:rsidR="005D3EB9" w:rsidRPr="00BA72A6">
        <w:rPr>
          <w:rFonts w:ascii="Arial" w:hAnsi="Arial" w:cs="Arial"/>
          <w:sz w:val="22"/>
          <w:szCs w:val="22"/>
        </w:rPr>
        <w:t>Case law has added "operability" of a firearm as an element of the crime (</w:t>
      </w:r>
      <w:r w:rsidR="005D3EB9" w:rsidRPr="00BA72A6">
        <w:rPr>
          <w:rFonts w:ascii="Arial" w:hAnsi="Arial" w:cs="Arial"/>
          <w:i/>
          <w:sz w:val="22"/>
          <w:szCs w:val="22"/>
        </w:rPr>
        <w:t xml:space="preserve">see People v Longshore, </w:t>
      </w:r>
      <w:r w:rsidR="005D3EB9" w:rsidRPr="00BA72A6">
        <w:rPr>
          <w:rFonts w:ascii="Arial" w:hAnsi="Arial" w:cs="Arial"/>
          <w:sz w:val="22"/>
          <w:szCs w:val="22"/>
        </w:rPr>
        <w:t xml:space="preserve">86 NY2d 851, 852 [1995]), but has further held that there is no requirement that the possessor know the firearm was operable </w:t>
      </w:r>
      <w:r w:rsidR="005D3EB9" w:rsidRPr="00BA72A6">
        <w:rPr>
          <w:rFonts w:ascii="Arial" w:hAnsi="Arial" w:cs="Arial"/>
          <w:i/>
          <w:sz w:val="22"/>
          <w:szCs w:val="22"/>
        </w:rPr>
        <w:t>(see People v Parrilla</w:t>
      </w:r>
      <w:r w:rsidR="005D3EB9" w:rsidRPr="00BA72A6">
        <w:rPr>
          <w:rFonts w:ascii="Arial" w:hAnsi="Arial" w:cs="Arial"/>
          <w:sz w:val="22"/>
          <w:szCs w:val="22"/>
        </w:rPr>
        <w:t xml:space="preserve">, 27 NY3d 400 [2016] ["Defendants need only knowingly possess a firearm, they need not know that the firearm was loaded or operable"]; </w:t>
      </w:r>
      <w:r w:rsidR="005D3EB9" w:rsidRPr="00BA72A6">
        <w:rPr>
          <w:rFonts w:ascii="Arial" w:hAnsi="Arial" w:cs="Arial"/>
          <w:i/>
          <w:sz w:val="22"/>
          <w:szCs w:val="22"/>
        </w:rPr>
        <w:t xml:space="preserve">People v Saunders, </w:t>
      </w:r>
      <w:r w:rsidR="005D3EB9" w:rsidRPr="00BA72A6">
        <w:rPr>
          <w:rFonts w:ascii="Arial" w:hAnsi="Arial" w:cs="Arial"/>
          <w:sz w:val="22"/>
          <w:szCs w:val="22"/>
        </w:rPr>
        <w:t xml:space="preserve">85 NY2d 339, 341-342 [1995]; </w:t>
      </w:r>
      <w:r w:rsidR="005D3EB9" w:rsidRPr="00BA72A6">
        <w:rPr>
          <w:rFonts w:ascii="Arial" w:hAnsi="Arial" w:cs="Arial"/>
          <w:i/>
          <w:sz w:val="22"/>
          <w:szCs w:val="22"/>
        </w:rPr>
        <w:t xml:space="preserve">People v Ansare, </w:t>
      </w:r>
      <w:r w:rsidR="005D3EB9" w:rsidRPr="00BA72A6">
        <w:rPr>
          <w:rFonts w:ascii="Arial" w:hAnsi="Arial" w:cs="Arial"/>
          <w:sz w:val="22"/>
          <w:szCs w:val="22"/>
        </w:rPr>
        <w:t>96 AD2d 96, 97 [4th Dept 1983]).</w:t>
      </w:r>
      <w:r w:rsidR="00B6655B">
        <w:rPr>
          <w:rFonts w:ascii="Arial" w:hAnsi="Arial" w:cs="Arial"/>
          <w:sz w:val="22"/>
          <w:szCs w:val="22"/>
        </w:rPr>
        <w:t xml:space="preserve"> </w:t>
      </w:r>
      <w:r w:rsidR="00B6655B">
        <w:rPr>
          <w:rFonts w:ascii="Arial" w:hAnsi="Arial" w:cs="Arial"/>
          <w:sz w:val="22"/>
          <w:szCs w:val="22"/>
        </w:rPr>
        <w:t>In December 2022, the last sentence was substituted for: “The defendant is not required to know that it is</w:t>
      </w:r>
      <w:r w:rsidR="00B6655B">
        <w:rPr>
          <w:rFonts w:ascii="Arial" w:hAnsi="Arial" w:cs="Arial"/>
          <w:sz w:val="22"/>
          <w:szCs w:val="22"/>
        </w:rPr>
        <w:t xml:space="preserve"> loaded or</w:t>
      </w:r>
      <w:r w:rsidR="00B6655B">
        <w:rPr>
          <w:rFonts w:ascii="Arial" w:hAnsi="Arial" w:cs="Arial"/>
          <w:sz w:val="22"/>
          <w:szCs w:val="22"/>
        </w:rPr>
        <w:t xml:space="preserve"> operable.”</w:t>
      </w:r>
    </w:p>
    <w:p w14:paraId="00807EE5" w14:textId="13ABCCBD" w:rsidR="005D3EB9" w:rsidRPr="00BA72A6" w:rsidRDefault="005D3EB9" w:rsidP="005D3EB9">
      <w:pPr>
        <w:ind w:firstLine="720"/>
        <w:jc w:val="both"/>
        <w:rPr>
          <w:rFonts w:ascii="Arial" w:eastAsia="Yu Gothic UI" w:hAnsi="Arial" w:cs="Arial"/>
          <w:sz w:val="22"/>
          <w:szCs w:val="22"/>
        </w:rPr>
      </w:pPr>
    </w:p>
  </w:footnote>
  <w:footnote w:id="11">
    <w:p w14:paraId="06D1B6A4" w14:textId="4FE0F355" w:rsidR="00FF38B9" w:rsidRPr="00BA72A6" w:rsidRDefault="00393EBA" w:rsidP="00BA72A6">
      <w:pPr>
        <w:spacing w:after="240"/>
        <w:ind w:firstLine="720"/>
        <w:rPr>
          <w:rFonts w:ascii="Arial" w:eastAsia="Yu Gothic UI" w:hAnsi="Arial" w:cs="Arial"/>
          <w:sz w:val="22"/>
          <w:szCs w:val="22"/>
        </w:rPr>
      </w:pPr>
      <w:r>
        <w:rPr>
          <w:rFonts w:ascii="Arial" w:eastAsia="Yu Gothic UI" w:hAnsi="Arial" w:cs="Arial"/>
          <w:sz w:val="22"/>
          <w:szCs w:val="22"/>
          <w:vertAlign w:val="superscript"/>
        </w:rPr>
        <w:t>11</w:t>
      </w:r>
      <w:r w:rsidR="00FF38B9" w:rsidRPr="00BA72A6">
        <w:rPr>
          <w:rFonts w:ascii="Arial" w:eastAsia="Yu Gothic UI" w:hAnsi="Arial" w:cs="Arial"/>
          <w:sz w:val="22"/>
          <w:szCs w:val="22"/>
        </w:rPr>
        <w:t xml:space="preserve"> </w:t>
      </w:r>
      <w:r w:rsidR="00FF38B9" w:rsidRPr="00CA3F3E">
        <w:rPr>
          <w:rFonts w:ascii="Arial" w:eastAsia="Yu Gothic UI" w:hAnsi="Arial" w:cs="Arial"/>
          <w:i/>
          <w:iCs/>
          <w:sz w:val="22"/>
          <w:szCs w:val="22"/>
        </w:rPr>
        <w:t>See</w:t>
      </w:r>
      <w:r w:rsidR="00FF38B9" w:rsidRPr="00BA72A6">
        <w:rPr>
          <w:rFonts w:ascii="Arial" w:eastAsia="Yu Gothic UI" w:hAnsi="Arial" w:cs="Arial"/>
          <w:sz w:val="22"/>
          <w:szCs w:val="22"/>
        </w:rPr>
        <w:t xml:space="preserve"> </w:t>
      </w:r>
      <w:r w:rsidR="00CA3F3E">
        <w:rPr>
          <w:rFonts w:ascii="Arial" w:eastAsia="Yu Gothic UI" w:hAnsi="Arial" w:cs="Arial"/>
          <w:sz w:val="22"/>
          <w:szCs w:val="22"/>
        </w:rPr>
        <w:t>footnote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B9"/>
    <w:rsid w:val="00100CAB"/>
    <w:rsid w:val="001C5240"/>
    <w:rsid w:val="001C7E2E"/>
    <w:rsid w:val="00222977"/>
    <w:rsid w:val="002A438C"/>
    <w:rsid w:val="00393EBA"/>
    <w:rsid w:val="003B07B1"/>
    <w:rsid w:val="003C5DF2"/>
    <w:rsid w:val="004211DF"/>
    <w:rsid w:val="004E6739"/>
    <w:rsid w:val="005D3EB9"/>
    <w:rsid w:val="008D104A"/>
    <w:rsid w:val="008F600C"/>
    <w:rsid w:val="00966218"/>
    <w:rsid w:val="009C4989"/>
    <w:rsid w:val="00A14CD8"/>
    <w:rsid w:val="00B424AD"/>
    <w:rsid w:val="00B6655B"/>
    <w:rsid w:val="00BA72A6"/>
    <w:rsid w:val="00C7579A"/>
    <w:rsid w:val="00CA3F3E"/>
    <w:rsid w:val="00CF182A"/>
    <w:rsid w:val="00D814F2"/>
    <w:rsid w:val="00EB5B85"/>
    <w:rsid w:val="00FF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2533D7"/>
  <w14:defaultImageDpi w14:val="0"/>
  <w15:docId w15:val="{A7E69F71-3024-4692-990A-827C20DD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100CAB"/>
    <w:rPr>
      <w:color w:val="0563C1" w:themeColor="hyperlink"/>
      <w:u w:val="single"/>
    </w:rPr>
  </w:style>
  <w:style w:type="character" w:styleId="UnresolvedMention">
    <w:name w:val="Unresolved Mention"/>
    <w:basedOn w:val="DefaultParagraphFont"/>
    <w:uiPriority w:val="99"/>
    <w:semiHidden/>
    <w:unhideWhenUsed/>
    <w:rsid w:val="00100CAB"/>
    <w:rPr>
      <w:color w:val="605E5C"/>
      <w:shd w:val="clear" w:color="auto" w:fill="E1DFDD"/>
    </w:rPr>
  </w:style>
  <w:style w:type="paragraph" w:styleId="FootnoteText">
    <w:name w:val="footnote text"/>
    <w:basedOn w:val="Normal"/>
    <w:link w:val="FootnoteTextChar"/>
    <w:uiPriority w:val="99"/>
    <w:semiHidden/>
    <w:unhideWhenUsed/>
    <w:rsid w:val="00D814F2"/>
    <w:rPr>
      <w:sz w:val="20"/>
      <w:szCs w:val="20"/>
    </w:rPr>
  </w:style>
  <w:style w:type="character" w:customStyle="1" w:styleId="FootnoteTextChar">
    <w:name w:val="Footnote Text Char"/>
    <w:basedOn w:val="DefaultParagraphFont"/>
    <w:link w:val="FootnoteText"/>
    <w:uiPriority w:val="99"/>
    <w:semiHidden/>
    <w:rsid w:val="00D814F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A6567-853F-47BB-91D5-15A357F4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369</Words>
  <Characters>1742</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Donnino</dc:creator>
  <cp:keywords/>
  <dc:description/>
  <cp:lastModifiedBy>Bill Donnino</cp:lastModifiedBy>
  <cp:revision>24</cp:revision>
  <cp:lastPrinted>2022-12-07T21:51:00Z</cp:lastPrinted>
  <dcterms:created xsi:type="dcterms:W3CDTF">2022-12-06T22:46:00Z</dcterms:created>
  <dcterms:modified xsi:type="dcterms:W3CDTF">2022-12-07T21:51:00Z</dcterms:modified>
</cp:coreProperties>
</file>