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A88F" w14:textId="2B658714" w:rsidR="00AB7AB5" w:rsidRPr="00AB726F" w:rsidRDefault="00376E7F" w:rsidP="00AB7AB5">
      <w:pPr>
        <w:kinsoku w:val="0"/>
        <w:overflowPunct w:val="0"/>
        <w:autoSpaceDE/>
        <w:autoSpaceDN/>
        <w:adjustRightInd/>
        <w:spacing w:before="2" w:line="331" w:lineRule="exact"/>
        <w:jc w:val="center"/>
        <w:textAlignment w:val="baseline"/>
        <w:rPr>
          <w:rFonts w:ascii="Arial" w:hAnsi="Arial"/>
          <w:b/>
          <w:sz w:val="28"/>
          <w:vertAlign w:val="superscript"/>
        </w:rPr>
      </w:pPr>
      <w:r w:rsidRPr="00AB726F">
        <w:rPr>
          <w:rFonts w:ascii="Arial" w:hAnsi="Arial"/>
          <w:b/>
          <w:sz w:val="28"/>
        </w:rPr>
        <w:t xml:space="preserve">CRIMINAL POSSESSION OF A </w:t>
      </w:r>
      <w:r w:rsidR="00824AE4">
        <w:rPr>
          <w:rFonts w:ascii="Arial" w:hAnsi="Arial"/>
          <w:b/>
          <w:sz w:val="28"/>
        </w:rPr>
        <w:t>FIREARM</w:t>
      </w:r>
      <w:r w:rsidR="00366C6E">
        <w:rPr>
          <w:rStyle w:val="FootnoteReference"/>
          <w:rFonts w:ascii="Arial" w:hAnsi="Arial"/>
          <w:b/>
          <w:sz w:val="28"/>
        </w:rPr>
        <w:footnoteReference w:id="1"/>
      </w:r>
      <w:r w:rsidRPr="00AB726F">
        <w:rPr>
          <w:rFonts w:ascii="Arial" w:hAnsi="Arial"/>
          <w:b/>
          <w:sz w:val="28"/>
        </w:rPr>
        <w:br/>
        <w:t>Penal Law § 265.01</w:t>
      </w:r>
      <w:r w:rsidR="00824AE4">
        <w:rPr>
          <w:rFonts w:ascii="Arial" w:hAnsi="Arial"/>
          <w:b/>
          <w:sz w:val="28"/>
        </w:rPr>
        <w:t>-</w:t>
      </w:r>
      <w:r w:rsidR="00ED6AC3">
        <w:rPr>
          <w:rFonts w:ascii="Arial" w:hAnsi="Arial"/>
          <w:b/>
          <w:sz w:val="28"/>
        </w:rPr>
        <w:t>b</w:t>
      </w:r>
      <w:r w:rsidRPr="00AB726F">
        <w:rPr>
          <w:rFonts w:ascii="Arial" w:hAnsi="Arial"/>
          <w:b/>
          <w:sz w:val="28"/>
        </w:rPr>
        <w:t>(1)</w:t>
      </w:r>
      <w:r w:rsidRPr="00AB726F">
        <w:rPr>
          <w:rFonts w:ascii="Arial" w:hAnsi="Arial"/>
          <w:b/>
          <w:sz w:val="28"/>
        </w:rPr>
        <w:br/>
        <w:t xml:space="preserve">(Committed on or after </w:t>
      </w:r>
      <w:r w:rsidR="00B94AA2">
        <w:rPr>
          <w:rFonts w:ascii="Arial" w:hAnsi="Arial"/>
          <w:b/>
          <w:sz w:val="28"/>
        </w:rPr>
        <w:t>Mar</w:t>
      </w:r>
      <w:r w:rsidR="00366C6E">
        <w:rPr>
          <w:rFonts w:ascii="Arial" w:hAnsi="Arial"/>
          <w:b/>
          <w:sz w:val="28"/>
        </w:rPr>
        <w:t>ch 16, 2013</w:t>
      </w:r>
      <w:r w:rsidRPr="00AB726F">
        <w:rPr>
          <w:rFonts w:ascii="Arial" w:hAnsi="Arial"/>
          <w:b/>
          <w:sz w:val="28"/>
        </w:rPr>
        <w:t>)</w:t>
      </w:r>
      <w:r w:rsidRPr="00AB726F">
        <w:rPr>
          <w:rFonts w:ascii="Arial" w:hAnsi="Arial"/>
          <w:b/>
          <w:sz w:val="28"/>
        </w:rPr>
        <w:br/>
      </w:r>
      <w:r w:rsidRPr="00AB726F">
        <w:rPr>
          <w:rFonts w:ascii="Arial" w:hAnsi="Arial"/>
          <w:bCs/>
          <w:sz w:val="22"/>
          <w:szCs w:val="22"/>
        </w:rPr>
        <w:t>(Revised July 2016</w:t>
      </w:r>
      <w:r w:rsidR="00901506" w:rsidRPr="00AB726F">
        <w:rPr>
          <w:rFonts w:ascii="Arial" w:hAnsi="Arial"/>
          <w:bCs/>
          <w:sz w:val="22"/>
          <w:szCs w:val="22"/>
        </w:rPr>
        <w:t xml:space="preserve"> &amp; Dec 2022</w:t>
      </w:r>
      <w:r w:rsidRPr="00AB726F">
        <w:rPr>
          <w:rFonts w:ascii="Arial" w:hAnsi="Arial"/>
          <w:bCs/>
          <w:sz w:val="22"/>
          <w:szCs w:val="22"/>
        </w:rPr>
        <w:t>)</w:t>
      </w:r>
      <w:r w:rsidR="006D3AE9" w:rsidRPr="00AB726F">
        <w:rPr>
          <w:rFonts w:ascii="Arial" w:hAnsi="Arial"/>
          <w:bCs/>
          <w:sz w:val="22"/>
          <w:szCs w:val="22"/>
        </w:rPr>
        <w:t xml:space="preserve"> </w:t>
      </w:r>
      <w:r w:rsidR="006D3AE9" w:rsidRPr="00AB726F">
        <w:rPr>
          <w:rStyle w:val="FootnoteReference"/>
          <w:rFonts w:ascii="Arial" w:hAnsi="Arial"/>
          <w:bCs/>
          <w:sz w:val="22"/>
          <w:szCs w:val="22"/>
        </w:rPr>
        <w:footnoteReference w:id="2"/>
      </w:r>
      <w:r w:rsidR="006D3AE9" w:rsidRPr="00AB726F">
        <w:rPr>
          <w:rFonts w:ascii="Arial" w:hAnsi="Arial"/>
          <w:bCs/>
          <w:sz w:val="22"/>
          <w:szCs w:val="22"/>
        </w:rPr>
        <w:t xml:space="preserve"> </w:t>
      </w:r>
    </w:p>
    <w:p w14:paraId="6977582C" w14:textId="77777777" w:rsidR="0055193D" w:rsidRPr="00AB726F" w:rsidRDefault="0055193D" w:rsidP="00AB7AB5">
      <w:pPr>
        <w:kinsoku w:val="0"/>
        <w:overflowPunct w:val="0"/>
        <w:autoSpaceDE/>
        <w:autoSpaceDN/>
        <w:adjustRightInd/>
        <w:spacing w:before="2" w:line="331" w:lineRule="exact"/>
        <w:jc w:val="center"/>
        <w:textAlignment w:val="baseline"/>
        <w:rPr>
          <w:rFonts w:ascii="Arial" w:hAnsi="Arial"/>
          <w:b/>
          <w:sz w:val="28"/>
          <w:vertAlign w:val="superscript"/>
        </w:rPr>
      </w:pPr>
    </w:p>
    <w:p w14:paraId="40C44A03" w14:textId="5E43525B" w:rsidR="00376E7F" w:rsidRPr="00AB726F" w:rsidRDefault="00AB7AB5" w:rsidP="00AB7AB5">
      <w:pPr>
        <w:kinsoku w:val="0"/>
        <w:overflowPunct w:val="0"/>
        <w:autoSpaceDE/>
        <w:autoSpaceDN/>
        <w:adjustRightInd/>
        <w:spacing w:before="2" w:line="331" w:lineRule="exact"/>
        <w:jc w:val="both"/>
        <w:textAlignment w:val="baseline"/>
        <w:rPr>
          <w:rFonts w:ascii="Arial" w:hAnsi="Arial"/>
          <w:sz w:val="28"/>
        </w:rPr>
      </w:pPr>
      <w:r w:rsidRPr="00AB726F">
        <w:rPr>
          <w:rFonts w:ascii="Arial" w:hAnsi="Arial"/>
          <w:b/>
          <w:sz w:val="28"/>
          <w:vertAlign w:val="superscript"/>
        </w:rPr>
        <w:t xml:space="preserve"> </w:t>
      </w:r>
      <w:r w:rsidRPr="00AB726F">
        <w:rPr>
          <w:rFonts w:ascii="Arial" w:hAnsi="Arial"/>
          <w:sz w:val="28"/>
        </w:rPr>
        <w:t xml:space="preserve">        </w:t>
      </w:r>
      <w:r w:rsidR="00376E7F" w:rsidRPr="00AB726F">
        <w:rPr>
          <w:rFonts w:ascii="Arial" w:hAnsi="Arial"/>
          <w:sz w:val="28"/>
        </w:rPr>
        <w:t>The (</w:t>
      </w:r>
      <w:r w:rsidR="00376E7F" w:rsidRPr="00AB726F">
        <w:rPr>
          <w:rFonts w:ascii="Arial" w:hAnsi="Arial"/>
          <w:i/>
          <w:sz w:val="28"/>
          <w:u w:val="single"/>
        </w:rPr>
        <w:t>specify</w:t>
      </w:r>
      <w:r w:rsidR="00376E7F" w:rsidRPr="00AB726F">
        <w:rPr>
          <w:rFonts w:ascii="Arial" w:hAnsi="Arial"/>
          <w:sz w:val="28"/>
        </w:rPr>
        <w:t>) count is Criminal Possession of a Weapon in the Fourth Degree.</w:t>
      </w:r>
    </w:p>
    <w:p w14:paraId="4558397E" w14:textId="528A2C32" w:rsidR="00376E7F" w:rsidRPr="00AB726F" w:rsidRDefault="00376E7F">
      <w:pPr>
        <w:kinsoku w:val="0"/>
        <w:overflowPunct w:val="0"/>
        <w:autoSpaceDE/>
        <w:autoSpaceDN/>
        <w:adjustRightInd/>
        <w:spacing w:before="324" w:line="324" w:lineRule="exact"/>
        <w:ind w:firstLine="720"/>
        <w:jc w:val="both"/>
        <w:textAlignment w:val="baseline"/>
        <w:rPr>
          <w:rFonts w:ascii="Arial" w:hAnsi="Arial"/>
          <w:sz w:val="28"/>
        </w:rPr>
      </w:pPr>
      <w:r w:rsidRPr="00AB726F">
        <w:rPr>
          <w:rFonts w:ascii="Arial" w:hAnsi="Arial"/>
          <w:sz w:val="28"/>
        </w:rPr>
        <w:t>Under our law, a person is guilty of Criminal Possession of a Weapon in the Fourth Degree when that person knowingly</w:t>
      </w:r>
      <w:r w:rsidR="006D3AE9" w:rsidRPr="00AB726F">
        <w:rPr>
          <w:rStyle w:val="FootnoteReference"/>
          <w:rFonts w:ascii="Arial" w:hAnsi="Arial"/>
          <w:sz w:val="28"/>
        </w:rPr>
        <w:footnoteReference w:id="3"/>
      </w:r>
      <w:r w:rsidR="006D3AE9" w:rsidRPr="00AB726F">
        <w:rPr>
          <w:rFonts w:ascii="Arial" w:hAnsi="Arial"/>
          <w:sz w:val="28"/>
        </w:rPr>
        <w:t xml:space="preserve"> </w:t>
      </w:r>
      <w:r w:rsidRPr="00AB726F">
        <w:rPr>
          <w:rFonts w:ascii="Arial" w:hAnsi="Arial"/>
          <w:sz w:val="28"/>
        </w:rPr>
        <w:t>possesses any firearm.</w:t>
      </w:r>
    </w:p>
    <w:p w14:paraId="229130D5" w14:textId="77777777" w:rsidR="00B8766F" w:rsidRDefault="00376E7F" w:rsidP="00B8766F">
      <w:pPr>
        <w:kinsoku w:val="0"/>
        <w:overflowPunct w:val="0"/>
        <w:autoSpaceDE/>
        <w:autoSpaceDN/>
        <w:adjustRightInd/>
        <w:spacing w:before="322" w:line="326" w:lineRule="exact"/>
        <w:ind w:firstLine="720"/>
        <w:jc w:val="both"/>
        <w:textAlignment w:val="baseline"/>
        <w:rPr>
          <w:rFonts w:ascii="Arial" w:hAnsi="Arial"/>
          <w:sz w:val="28"/>
        </w:rPr>
      </w:pPr>
      <w:r w:rsidRPr="00AB726F">
        <w:rPr>
          <w:rFonts w:ascii="Arial" w:hAnsi="Arial"/>
          <w:sz w:val="28"/>
        </w:rPr>
        <w:t>The following terms used in that definition have a special meaning:</w:t>
      </w:r>
    </w:p>
    <w:p w14:paraId="49116E53" w14:textId="70164CE7" w:rsidR="00376E7F" w:rsidRPr="00AB726F" w:rsidRDefault="00376E7F" w:rsidP="00B8766F">
      <w:pPr>
        <w:kinsoku w:val="0"/>
        <w:overflowPunct w:val="0"/>
        <w:autoSpaceDE/>
        <w:autoSpaceDN/>
        <w:adjustRightInd/>
        <w:spacing w:before="322" w:line="326" w:lineRule="exact"/>
        <w:ind w:firstLine="720"/>
        <w:jc w:val="both"/>
        <w:textAlignment w:val="baseline"/>
        <w:rPr>
          <w:rFonts w:ascii="Arial" w:hAnsi="Arial"/>
          <w:spacing w:val="-1"/>
          <w:sz w:val="28"/>
        </w:rPr>
      </w:pPr>
      <w:r w:rsidRPr="00AB726F">
        <w:rPr>
          <w:rFonts w:ascii="Arial" w:hAnsi="Arial"/>
          <w:spacing w:val="-1"/>
          <w:sz w:val="28"/>
        </w:rPr>
        <w:t>A FIREARM means any pistol or revolver.</w:t>
      </w:r>
      <w:r w:rsidR="006D3AE9" w:rsidRPr="00AB726F">
        <w:rPr>
          <w:rStyle w:val="FootnoteReference"/>
          <w:rFonts w:ascii="Arial" w:hAnsi="Arial"/>
          <w:spacing w:val="-1"/>
          <w:sz w:val="28"/>
        </w:rPr>
        <w:footnoteReference w:id="4"/>
      </w:r>
    </w:p>
    <w:p w14:paraId="5F523B21" w14:textId="544E59AE" w:rsidR="006D3AE9" w:rsidRPr="00AB726F" w:rsidRDefault="00376E7F" w:rsidP="0055193D">
      <w:pPr>
        <w:kinsoku w:val="0"/>
        <w:overflowPunct w:val="0"/>
        <w:autoSpaceDE/>
        <w:autoSpaceDN/>
        <w:adjustRightInd/>
        <w:spacing w:after="100" w:afterAutospacing="1" w:line="324" w:lineRule="exact"/>
        <w:ind w:firstLine="720"/>
        <w:jc w:val="both"/>
        <w:textAlignment w:val="baseline"/>
        <w:rPr>
          <w:rFonts w:ascii="Arial" w:hAnsi="Arial"/>
          <w:spacing w:val="-4"/>
          <w:sz w:val="28"/>
        </w:rPr>
      </w:pPr>
      <w:r w:rsidRPr="00AB726F">
        <w:rPr>
          <w:rFonts w:ascii="Arial" w:hAnsi="Arial"/>
          <w:spacing w:val="-4"/>
          <w:sz w:val="28"/>
        </w:rPr>
        <w:lastRenderedPageBreak/>
        <w:t>POSSESS means to have physical possession or otherwise to exercise dominion or control over tangible property.</w:t>
      </w:r>
      <w:r w:rsidR="006D3AE9" w:rsidRPr="00AB726F">
        <w:rPr>
          <w:rStyle w:val="FootnoteReference"/>
          <w:rFonts w:ascii="Arial" w:hAnsi="Arial"/>
          <w:spacing w:val="-4"/>
          <w:sz w:val="28"/>
        </w:rPr>
        <w:footnoteReference w:id="5"/>
      </w:r>
    </w:p>
    <w:p w14:paraId="2F6C85D1" w14:textId="77777777" w:rsidR="00E77F97" w:rsidRPr="00E77F97" w:rsidRDefault="00E77F97" w:rsidP="00E77F97">
      <w:pPr>
        <w:kinsoku w:val="0"/>
        <w:overflowPunct w:val="0"/>
        <w:autoSpaceDE/>
        <w:autoSpaceDN/>
        <w:adjustRightInd/>
        <w:spacing w:before="100" w:beforeAutospacing="1" w:line="324" w:lineRule="exact"/>
        <w:ind w:firstLine="720"/>
        <w:jc w:val="both"/>
        <w:textAlignment w:val="baseline"/>
        <w:rPr>
          <w:rFonts w:ascii="Arial" w:hAnsi="Arial" w:cs="Arial"/>
          <w:sz w:val="28"/>
          <w:szCs w:val="28"/>
        </w:rPr>
      </w:pPr>
      <w:r w:rsidRPr="00E77F97">
        <w:rPr>
          <w:rFonts w:ascii="Arial" w:hAnsi="Arial"/>
          <w:spacing w:val="-2"/>
          <w:sz w:val="28"/>
        </w:rPr>
        <w:t xml:space="preserve">A person KNOWINGLY possesses a firearm when that person is aware that he or she is in possession of </w:t>
      </w:r>
      <w:r w:rsidRPr="00E77F97">
        <w:rPr>
          <w:rFonts w:ascii="Arial" w:hAnsi="Arial" w:cs="Arial"/>
          <w:sz w:val="28"/>
          <w:szCs w:val="28"/>
        </w:rPr>
        <w:t>an object that is a firearm.</w:t>
      </w:r>
      <w:r w:rsidRPr="00E77F97">
        <w:rPr>
          <w:rFonts w:ascii="Arial" w:hAnsi="Arial"/>
          <w:spacing w:val="-2"/>
          <w:sz w:val="28"/>
          <w:vertAlign w:val="superscript"/>
        </w:rPr>
        <w:t xml:space="preserve"> </w:t>
      </w:r>
      <w:r w:rsidRPr="00E77F97">
        <w:rPr>
          <w:rFonts w:ascii="Arial" w:hAnsi="Arial"/>
          <w:spacing w:val="-2"/>
          <w:sz w:val="28"/>
          <w:vertAlign w:val="superscript"/>
        </w:rPr>
        <w:footnoteReference w:id="6"/>
      </w:r>
      <w:r w:rsidRPr="00E77F97">
        <w:rPr>
          <w:rFonts w:ascii="Arial" w:hAnsi="Arial" w:cs="Arial"/>
          <w:sz w:val="28"/>
          <w:szCs w:val="28"/>
        </w:rPr>
        <w:t xml:space="preserve">  That person need not know (that is, be aware of) the object’s name or whether it meets the definition of a firearm.</w:t>
      </w:r>
      <w:r w:rsidRPr="00E77F97">
        <w:rPr>
          <w:rFonts w:ascii="Arial" w:hAnsi="Arial" w:cs="Arial"/>
          <w:sz w:val="28"/>
          <w:szCs w:val="28"/>
          <w:vertAlign w:val="superscript"/>
        </w:rPr>
        <w:footnoteReference w:id="7"/>
      </w:r>
    </w:p>
    <w:p w14:paraId="0738E437" w14:textId="7EA01817" w:rsidR="00376E7F" w:rsidRPr="00AB726F" w:rsidRDefault="00376E7F" w:rsidP="006D3AE9">
      <w:pPr>
        <w:kinsoku w:val="0"/>
        <w:overflowPunct w:val="0"/>
        <w:autoSpaceDE/>
        <w:autoSpaceDN/>
        <w:adjustRightInd/>
        <w:spacing w:before="328" w:line="323" w:lineRule="exact"/>
        <w:ind w:firstLine="720"/>
        <w:jc w:val="both"/>
        <w:textAlignment w:val="baseline"/>
        <w:rPr>
          <w:rFonts w:ascii="Arial" w:hAnsi="Arial"/>
          <w:sz w:val="28"/>
        </w:rPr>
      </w:pPr>
      <w:r w:rsidRPr="00AB726F">
        <w:rPr>
          <w:rFonts w:ascii="Arial" w:hAnsi="Arial"/>
          <w:sz w:val="28"/>
        </w:rPr>
        <w:t xml:space="preserve">Under this count, the firearm need not be loaded but it must be operable. </w:t>
      </w:r>
      <w:r w:rsidR="009400CF" w:rsidRPr="00AB726F">
        <w:rPr>
          <w:rFonts w:ascii="Arial" w:hAnsi="Arial"/>
          <w:sz w:val="28"/>
        </w:rPr>
        <w:t xml:space="preserve"> </w:t>
      </w:r>
      <w:r w:rsidRPr="00AB726F">
        <w:rPr>
          <w:rFonts w:ascii="Arial" w:hAnsi="Arial"/>
          <w:sz w:val="28"/>
        </w:rPr>
        <w:t>To be operable, a firearm must be capable of discharging ammunition.</w:t>
      </w:r>
      <w:r w:rsidR="009400CF" w:rsidRPr="00AB726F">
        <w:rPr>
          <w:rFonts w:ascii="Arial" w:hAnsi="Arial"/>
          <w:sz w:val="28"/>
        </w:rPr>
        <w:t xml:space="preserve"> </w:t>
      </w:r>
      <w:r w:rsidRPr="00AB726F">
        <w:rPr>
          <w:rFonts w:ascii="Arial" w:hAnsi="Arial"/>
          <w:sz w:val="28"/>
        </w:rPr>
        <w:t xml:space="preserve"> </w:t>
      </w:r>
      <w:r w:rsidR="005E7E49">
        <w:rPr>
          <w:rFonts w:ascii="Arial" w:hAnsi="Arial"/>
          <w:sz w:val="28"/>
        </w:rPr>
        <w:t>A person in possession of a firearm</w:t>
      </w:r>
      <w:r w:rsidRPr="00AB726F">
        <w:rPr>
          <w:rFonts w:ascii="Arial" w:hAnsi="Arial"/>
          <w:sz w:val="28"/>
        </w:rPr>
        <w:t xml:space="preserve"> is not required to know that it was operable</w:t>
      </w:r>
      <w:r w:rsidR="00285B1A" w:rsidRPr="00AB726F">
        <w:rPr>
          <w:rFonts w:ascii="Arial" w:hAnsi="Arial"/>
          <w:sz w:val="28"/>
        </w:rPr>
        <w:t>.</w:t>
      </w:r>
      <w:r w:rsidR="00F61D3B" w:rsidRPr="00AB726F">
        <w:rPr>
          <w:rStyle w:val="FootnoteReference"/>
          <w:rFonts w:ascii="Arial" w:hAnsi="Arial"/>
          <w:sz w:val="28"/>
        </w:rPr>
        <w:footnoteReference w:id="8"/>
      </w:r>
    </w:p>
    <w:p w14:paraId="2C97CD8D" w14:textId="77777777" w:rsidR="00376E7F" w:rsidRPr="00AB726F" w:rsidRDefault="00376E7F">
      <w:pPr>
        <w:kinsoku w:val="0"/>
        <w:overflowPunct w:val="0"/>
        <w:autoSpaceDE/>
        <w:autoSpaceDN/>
        <w:adjustRightInd/>
        <w:spacing w:before="328" w:line="324" w:lineRule="exact"/>
        <w:ind w:firstLine="720"/>
        <w:jc w:val="both"/>
        <w:textAlignment w:val="baseline"/>
        <w:rPr>
          <w:rFonts w:ascii="Arial" w:hAnsi="Arial"/>
          <w:spacing w:val="-4"/>
          <w:sz w:val="28"/>
        </w:rPr>
      </w:pPr>
      <w:r w:rsidRPr="00AB726F">
        <w:rPr>
          <w:rFonts w:ascii="Arial" w:hAnsi="Arial"/>
          <w:spacing w:val="-4"/>
          <w:sz w:val="28"/>
        </w:rPr>
        <w:lastRenderedPageBreak/>
        <w:t>In order for you to find the defendant guilty of this crime, the People are required to prove, from all the of evidence in the case, beyond a reasonable doubt, each of the following three elements:</w:t>
      </w:r>
    </w:p>
    <w:p w14:paraId="56B55D35" w14:textId="54590F3E" w:rsidR="00376E7F" w:rsidRPr="00AB726F" w:rsidRDefault="00376E7F">
      <w:pPr>
        <w:numPr>
          <w:ilvl w:val="0"/>
          <w:numId w:val="1"/>
        </w:numPr>
        <w:kinsoku w:val="0"/>
        <w:overflowPunct w:val="0"/>
        <w:autoSpaceDE/>
        <w:autoSpaceDN/>
        <w:adjustRightInd/>
        <w:spacing w:before="324" w:line="324" w:lineRule="exact"/>
        <w:jc w:val="both"/>
        <w:textAlignment w:val="baseline"/>
        <w:rPr>
          <w:rFonts w:ascii="Arial" w:hAnsi="Arial"/>
          <w:sz w:val="28"/>
        </w:rPr>
      </w:pPr>
      <w:r w:rsidRPr="00AB726F">
        <w:rPr>
          <w:rFonts w:ascii="Arial" w:hAnsi="Arial"/>
          <w:sz w:val="28"/>
        </w:rPr>
        <w:t xml:space="preserve">That on or about </w:t>
      </w:r>
      <w:r w:rsidRPr="00AB726F">
        <w:rPr>
          <w:rFonts w:ascii="Arial" w:hAnsi="Arial"/>
          <w:i/>
          <w:sz w:val="28"/>
          <w:u w:val="single"/>
        </w:rPr>
        <w:t xml:space="preserve"> (date) </w:t>
      </w:r>
      <w:r w:rsidRPr="00AB726F">
        <w:rPr>
          <w:rFonts w:ascii="Arial" w:hAnsi="Arial"/>
          <w:sz w:val="28"/>
        </w:rPr>
        <w:t xml:space="preserve"> , in the county of </w:t>
      </w:r>
      <w:r w:rsidRPr="00AB726F">
        <w:rPr>
          <w:rFonts w:ascii="Arial" w:hAnsi="Arial"/>
          <w:i/>
          <w:sz w:val="28"/>
          <w:u w:val="single"/>
        </w:rPr>
        <w:t xml:space="preserve"> (County)</w:t>
      </w:r>
      <w:r w:rsidRPr="00AB726F">
        <w:rPr>
          <w:rFonts w:ascii="Arial" w:hAnsi="Arial"/>
          <w:sz w:val="28"/>
        </w:rPr>
        <w:t xml:space="preserve">, the defendant, </w:t>
      </w:r>
      <w:r w:rsidRPr="00AB726F">
        <w:rPr>
          <w:rFonts w:ascii="Arial" w:hAnsi="Arial"/>
          <w:i/>
          <w:sz w:val="28"/>
          <w:u w:val="single"/>
        </w:rPr>
        <w:t>(defendant's name)</w:t>
      </w:r>
      <w:r w:rsidRPr="00AB726F">
        <w:rPr>
          <w:rFonts w:ascii="Arial" w:hAnsi="Arial"/>
          <w:sz w:val="28"/>
        </w:rPr>
        <w:t>, possessed a firearm;</w:t>
      </w:r>
    </w:p>
    <w:p w14:paraId="06C5A2EF" w14:textId="77777777" w:rsidR="00376E7F" w:rsidRPr="00AB726F" w:rsidRDefault="00376E7F">
      <w:pPr>
        <w:numPr>
          <w:ilvl w:val="0"/>
          <w:numId w:val="1"/>
        </w:numPr>
        <w:kinsoku w:val="0"/>
        <w:overflowPunct w:val="0"/>
        <w:autoSpaceDE/>
        <w:autoSpaceDN/>
        <w:adjustRightInd/>
        <w:spacing w:before="333" w:line="315" w:lineRule="exact"/>
        <w:jc w:val="both"/>
        <w:textAlignment w:val="baseline"/>
        <w:rPr>
          <w:rFonts w:ascii="Arial" w:hAnsi="Arial"/>
          <w:sz w:val="28"/>
        </w:rPr>
      </w:pPr>
      <w:r w:rsidRPr="00AB726F">
        <w:rPr>
          <w:rFonts w:ascii="Arial" w:hAnsi="Arial"/>
          <w:sz w:val="28"/>
        </w:rPr>
        <w:t>That the defendant did so knowingly; and</w:t>
      </w:r>
    </w:p>
    <w:p w14:paraId="670854C8" w14:textId="77777777" w:rsidR="00376E7F" w:rsidRPr="00AB726F" w:rsidRDefault="00376E7F">
      <w:pPr>
        <w:numPr>
          <w:ilvl w:val="0"/>
          <w:numId w:val="1"/>
        </w:numPr>
        <w:kinsoku w:val="0"/>
        <w:overflowPunct w:val="0"/>
        <w:autoSpaceDE/>
        <w:autoSpaceDN/>
        <w:adjustRightInd/>
        <w:spacing w:before="333" w:line="315" w:lineRule="exact"/>
        <w:jc w:val="both"/>
        <w:textAlignment w:val="baseline"/>
        <w:rPr>
          <w:rFonts w:ascii="Arial" w:hAnsi="Arial"/>
          <w:sz w:val="28"/>
        </w:rPr>
      </w:pPr>
      <w:r w:rsidRPr="00AB726F">
        <w:rPr>
          <w:rFonts w:ascii="Arial" w:hAnsi="Arial"/>
          <w:sz w:val="28"/>
        </w:rPr>
        <w:t>That the firearm was operable.</w:t>
      </w:r>
    </w:p>
    <w:p w14:paraId="45A97212" w14:textId="77777777" w:rsidR="00376E7F" w:rsidRPr="00AB726F" w:rsidRDefault="00376E7F">
      <w:pPr>
        <w:kinsoku w:val="0"/>
        <w:overflowPunct w:val="0"/>
        <w:autoSpaceDE/>
        <w:autoSpaceDN/>
        <w:adjustRightInd/>
        <w:spacing w:before="324" w:line="324" w:lineRule="exact"/>
        <w:ind w:firstLine="720"/>
        <w:jc w:val="both"/>
        <w:textAlignment w:val="baseline"/>
        <w:rPr>
          <w:rFonts w:ascii="Arial" w:hAnsi="Arial"/>
          <w:sz w:val="28"/>
        </w:rPr>
      </w:pPr>
      <w:r w:rsidRPr="00AB726F">
        <w:rPr>
          <w:rFonts w:ascii="Arial" w:hAnsi="Arial"/>
          <w:sz w:val="28"/>
        </w:rPr>
        <w:t>If you find the People have proven beyond a reasonable doubt each of those elements, you must find the defendant guilty of this crime.</w:t>
      </w:r>
    </w:p>
    <w:p w14:paraId="1FF69D2D" w14:textId="242E0F92" w:rsidR="00376E7F" w:rsidRPr="00AB726F" w:rsidRDefault="00376E7F" w:rsidP="00F61D3B">
      <w:pPr>
        <w:kinsoku w:val="0"/>
        <w:overflowPunct w:val="0"/>
        <w:autoSpaceDE/>
        <w:autoSpaceDN/>
        <w:adjustRightInd/>
        <w:spacing w:before="324" w:after="804" w:line="324" w:lineRule="exact"/>
        <w:ind w:firstLine="720"/>
        <w:jc w:val="both"/>
        <w:textAlignment w:val="baseline"/>
        <w:rPr>
          <w:rFonts w:ascii="Arial" w:hAnsi="Arial"/>
          <w:sz w:val="28"/>
        </w:rPr>
      </w:pPr>
      <w:r w:rsidRPr="00AB726F">
        <w:rPr>
          <w:rFonts w:ascii="Arial" w:hAnsi="Arial"/>
          <w:sz w:val="28"/>
        </w:rPr>
        <w:t>If you find the People have not proven beyond a reasonable doubt any one or more of those elements, you must find the defendant not guilty of this crime.</w:t>
      </w:r>
    </w:p>
    <w:sectPr w:rsidR="00376E7F" w:rsidRPr="00AB726F" w:rsidSect="00032236">
      <w:pgSz w:w="12240" w:h="15840"/>
      <w:pgMar w:top="1080" w:right="2160" w:bottom="1080" w:left="216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C4E7" w14:textId="77777777" w:rsidR="00A12AC0" w:rsidRDefault="00A12AC0" w:rsidP="00724010">
      <w:r>
        <w:separator/>
      </w:r>
    </w:p>
  </w:endnote>
  <w:endnote w:type="continuationSeparator" w:id="0">
    <w:p w14:paraId="4EC90FC0" w14:textId="77777777" w:rsidR="00A12AC0" w:rsidRDefault="00A12AC0" w:rsidP="007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D93E" w14:textId="77777777" w:rsidR="00A12AC0" w:rsidRDefault="00A12AC0" w:rsidP="00724010">
      <w:r>
        <w:separator/>
      </w:r>
    </w:p>
  </w:footnote>
  <w:footnote w:type="continuationSeparator" w:id="0">
    <w:p w14:paraId="3F0CF641" w14:textId="77777777" w:rsidR="00A12AC0" w:rsidRDefault="00A12AC0" w:rsidP="00724010">
      <w:r>
        <w:continuationSeparator/>
      </w:r>
    </w:p>
  </w:footnote>
  <w:footnote w:id="1">
    <w:p w14:paraId="70FBE5FA" w14:textId="13338B08" w:rsidR="00366C6E" w:rsidRDefault="00366C6E" w:rsidP="0000282C">
      <w:pPr>
        <w:pStyle w:val="FootnoteText"/>
        <w:jc w:val="both"/>
        <w:rPr>
          <w:rFonts w:ascii="Arial" w:hAnsi="Arial"/>
        </w:rPr>
      </w:pPr>
      <w:r>
        <w:rPr>
          <w:rStyle w:val="FootnoteReference"/>
        </w:rPr>
        <w:footnoteRef/>
      </w:r>
      <w:r>
        <w:t xml:space="preserve"> </w:t>
      </w:r>
      <w:r w:rsidR="000A237E" w:rsidRPr="000A237E">
        <w:rPr>
          <w:rFonts w:ascii="Arial" w:hAnsi="Arial"/>
        </w:rPr>
        <w:t>This crime, classified as an E felony, is identical to the crime of possession of a firearm defined in “criminal possession of a weapon in the fourth degree,” a class A misdemeanor (</w:t>
      </w:r>
      <w:r w:rsidR="000A237E" w:rsidRPr="000A237E">
        <w:rPr>
          <w:rFonts w:ascii="Arial" w:hAnsi="Arial"/>
          <w:i/>
        </w:rPr>
        <w:t xml:space="preserve">see </w:t>
      </w:r>
      <w:r w:rsidR="000A237E" w:rsidRPr="000A237E">
        <w:rPr>
          <w:rFonts w:ascii="Arial" w:hAnsi="Arial"/>
        </w:rPr>
        <w:t xml:space="preserve">Penal Law § 265.01 [1]). For guidance on whether to charge the misdemeanor as a lesser included offense of the felony, or whether to charge one or the other as a lesser included offense of possession of a loaded firearm. </w:t>
      </w:r>
      <w:r w:rsidR="000A237E" w:rsidRPr="000A237E">
        <w:rPr>
          <w:rFonts w:ascii="Arial" w:hAnsi="Arial"/>
          <w:i/>
        </w:rPr>
        <w:t>See People v. Discala</w:t>
      </w:r>
      <w:r w:rsidR="000A237E" w:rsidRPr="000A237E">
        <w:rPr>
          <w:rFonts w:ascii="Arial" w:hAnsi="Arial"/>
        </w:rPr>
        <w:t xml:space="preserve">, 45 N.Y.2d 38 (1978) (coercion crimes); </w:t>
      </w:r>
      <w:r w:rsidR="000A237E" w:rsidRPr="000A237E">
        <w:rPr>
          <w:rFonts w:ascii="Arial" w:hAnsi="Arial"/>
          <w:i/>
        </w:rPr>
        <w:t xml:space="preserve">People v. Finkelstein, </w:t>
      </w:r>
      <w:r w:rsidR="000A237E" w:rsidRPr="000A237E">
        <w:rPr>
          <w:rFonts w:ascii="Arial" w:hAnsi="Arial"/>
        </w:rPr>
        <w:t xml:space="preserve">28 N.Y.3d 345 (2016) (coercion crimes); </w:t>
      </w:r>
      <w:r w:rsidR="000A237E" w:rsidRPr="000A237E">
        <w:rPr>
          <w:rFonts w:ascii="Arial" w:hAnsi="Arial"/>
          <w:i/>
        </w:rPr>
        <w:t>People v. Pereau</w:t>
      </w:r>
      <w:r w:rsidR="000A237E" w:rsidRPr="000A237E">
        <w:rPr>
          <w:rFonts w:ascii="Arial" w:hAnsi="Arial"/>
        </w:rPr>
        <w:t xml:space="preserve">, 64 N.Y.2d 1055 (1985). </w:t>
      </w:r>
      <w:r w:rsidR="000A237E" w:rsidRPr="000A237E">
        <w:rPr>
          <w:rFonts w:ascii="Arial" w:hAnsi="Arial"/>
          <w:i/>
        </w:rPr>
        <w:t>See also People v. Lawrence</w:t>
      </w:r>
      <w:r w:rsidR="000A237E" w:rsidRPr="000A237E">
        <w:rPr>
          <w:rFonts w:ascii="Arial" w:hAnsi="Arial"/>
        </w:rPr>
        <w:t xml:space="preserve">, 81 A.D.3d 1326 (2011); </w:t>
      </w:r>
      <w:r w:rsidR="000A237E" w:rsidRPr="000A237E">
        <w:rPr>
          <w:rFonts w:ascii="Arial" w:hAnsi="Arial"/>
          <w:i/>
        </w:rPr>
        <w:t>People v. Collins</w:t>
      </w:r>
      <w:r w:rsidR="000A237E" w:rsidRPr="000A237E">
        <w:rPr>
          <w:rFonts w:ascii="Arial" w:hAnsi="Arial"/>
        </w:rPr>
        <w:t>, 85 A.D.3d 1678, 1678 (2011).</w:t>
      </w:r>
    </w:p>
    <w:p w14:paraId="5E780293" w14:textId="77777777" w:rsidR="000A237E" w:rsidRDefault="000A237E">
      <w:pPr>
        <w:pStyle w:val="FootnoteText"/>
      </w:pPr>
    </w:p>
  </w:footnote>
  <w:footnote w:id="2">
    <w:p w14:paraId="7E0BE1B6" w14:textId="3720D6D0" w:rsidR="006D3AE9" w:rsidRPr="00AB726F" w:rsidRDefault="006D3AE9" w:rsidP="000F358F">
      <w:pPr>
        <w:pStyle w:val="FootnoteText"/>
        <w:jc w:val="both"/>
        <w:rPr>
          <w:rFonts w:ascii="Arial" w:hAnsi="Arial"/>
          <w:sz w:val="28"/>
        </w:rPr>
      </w:pPr>
      <w:r w:rsidRPr="00AB726F">
        <w:rPr>
          <w:rStyle w:val="FootnoteReference"/>
        </w:rPr>
        <w:footnoteRef/>
      </w:r>
      <w:r w:rsidRPr="00AB726F">
        <w:t xml:space="preserve"> </w:t>
      </w:r>
      <w:r w:rsidR="006E3A0F" w:rsidRPr="00AB726F">
        <w:rPr>
          <w:rFonts w:ascii="Arial" w:hAnsi="Arial" w:cs="Arial"/>
          <w:sz w:val="22"/>
          <w:szCs w:val="22"/>
        </w:rPr>
        <w:t xml:space="preserve">The July 2016 </w:t>
      </w:r>
      <w:r w:rsidR="001B6C06" w:rsidRPr="00AB726F">
        <w:rPr>
          <w:rFonts w:ascii="Arial" w:hAnsi="Arial" w:cs="Arial"/>
          <w:sz w:val="22"/>
          <w:szCs w:val="22"/>
        </w:rPr>
        <w:t xml:space="preserve">revision was for the purpose of adding </w:t>
      </w:r>
      <w:r w:rsidR="00134F1F" w:rsidRPr="00AB726F">
        <w:rPr>
          <w:rFonts w:ascii="Arial" w:hAnsi="Arial" w:cs="Arial"/>
          <w:sz w:val="22"/>
          <w:szCs w:val="22"/>
        </w:rPr>
        <w:t xml:space="preserve">a sentence to </w:t>
      </w:r>
      <w:r w:rsidR="000F358F" w:rsidRPr="00AB726F">
        <w:rPr>
          <w:rFonts w:ascii="Arial" w:hAnsi="Arial" w:cs="Arial"/>
          <w:sz w:val="22"/>
          <w:szCs w:val="22"/>
        </w:rPr>
        <w:t>the</w:t>
      </w:r>
      <w:r w:rsidR="001A2DF7" w:rsidRPr="00AB726F">
        <w:rPr>
          <w:rFonts w:ascii="Arial" w:hAnsi="Arial" w:cs="Arial"/>
          <w:sz w:val="22"/>
          <w:szCs w:val="22"/>
        </w:rPr>
        <w:t xml:space="preserve"> definition of “knowingly” </w:t>
      </w:r>
      <w:r w:rsidR="00134F1F" w:rsidRPr="00AB726F">
        <w:rPr>
          <w:rFonts w:ascii="Arial" w:hAnsi="Arial" w:cs="Arial"/>
          <w:sz w:val="22"/>
          <w:szCs w:val="22"/>
        </w:rPr>
        <w:t>to read</w:t>
      </w:r>
      <w:r w:rsidR="001A2DF7" w:rsidRPr="00AB726F">
        <w:rPr>
          <w:rFonts w:ascii="Arial" w:hAnsi="Arial" w:cs="Arial"/>
          <w:sz w:val="22"/>
          <w:szCs w:val="22"/>
        </w:rPr>
        <w:t xml:space="preserve">: </w:t>
      </w:r>
      <w:r w:rsidR="00134F1F" w:rsidRPr="00AB726F">
        <w:rPr>
          <w:rFonts w:ascii="Arial" w:hAnsi="Arial" w:cs="Arial"/>
          <w:sz w:val="22"/>
          <w:szCs w:val="22"/>
        </w:rPr>
        <w:t>“</w:t>
      </w:r>
      <w:r w:rsidR="000F358F" w:rsidRPr="00AB726F">
        <w:rPr>
          <w:rFonts w:ascii="Arial" w:hAnsi="Arial" w:cs="Arial"/>
          <w:sz w:val="22"/>
          <w:szCs w:val="22"/>
        </w:rPr>
        <w:t>The defendant is required to know that he or she is in possession of a firearm, but the defendant is not required to know that it was operable.</w:t>
      </w:r>
      <w:r w:rsidR="00134F1F" w:rsidRPr="00AB726F">
        <w:rPr>
          <w:rFonts w:ascii="Arial" w:hAnsi="Arial" w:cs="Arial"/>
          <w:sz w:val="22"/>
          <w:szCs w:val="22"/>
        </w:rPr>
        <w:t>”</w:t>
      </w:r>
      <w:r w:rsidR="000F358F" w:rsidRPr="00AB726F">
        <w:rPr>
          <w:rFonts w:ascii="Arial" w:hAnsi="Arial"/>
          <w:sz w:val="28"/>
        </w:rPr>
        <w:t xml:space="preserve">  </w:t>
      </w:r>
    </w:p>
    <w:p w14:paraId="6A0425E0" w14:textId="77777777" w:rsidR="000124E1" w:rsidRDefault="000124E1" w:rsidP="000F358F">
      <w:pPr>
        <w:pStyle w:val="FootnoteText"/>
        <w:jc w:val="both"/>
        <w:rPr>
          <w:rFonts w:ascii="Arial" w:hAnsi="Arial" w:cs="Arial"/>
          <w:sz w:val="22"/>
          <w:szCs w:val="22"/>
        </w:rPr>
      </w:pPr>
    </w:p>
    <w:p w14:paraId="6EED91EE" w14:textId="305EA6E9" w:rsidR="007D563B" w:rsidRPr="00AB726F" w:rsidRDefault="007D563B" w:rsidP="000F358F">
      <w:pPr>
        <w:pStyle w:val="FootnoteText"/>
        <w:jc w:val="both"/>
        <w:rPr>
          <w:rFonts w:ascii="Arial" w:hAnsi="Arial" w:cs="Arial"/>
          <w:sz w:val="22"/>
          <w:szCs w:val="22"/>
        </w:rPr>
      </w:pPr>
      <w:r w:rsidRPr="00AB726F">
        <w:rPr>
          <w:rFonts w:ascii="Arial" w:hAnsi="Arial" w:cs="Arial"/>
          <w:sz w:val="22"/>
          <w:szCs w:val="22"/>
        </w:rPr>
        <w:t xml:space="preserve">  The December 2022 revision was for the purpose </w:t>
      </w:r>
      <w:r w:rsidR="00CA4887">
        <w:rPr>
          <w:rFonts w:ascii="Arial" w:hAnsi="Arial" w:cs="Arial"/>
          <w:sz w:val="22"/>
          <w:szCs w:val="22"/>
        </w:rPr>
        <w:t xml:space="preserve">of </w:t>
      </w:r>
      <w:r w:rsidR="00310EAE" w:rsidRPr="00AB726F">
        <w:rPr>
          <w:rFonts w:ascii="Arial" w:hAnsi="Arial" w:cs="Arial"/>
          <w:sz w:val="22"/>
          <w:szCs w:val="22"/>
        </w:rPr>
        <w:t xml:space="preserve">adding </w:t>
      </w:r>
      <w:r w:rsidR="002B56DD" w:rsidRPr="00AB726F">
        <w:rPr>
          <w:rFonts w:ascii="Arial" w:hAnsi="Arial" w:cs="Arial"/>
          <w:sz w:val="22"/>
          <w:szCs w:val="22"/>
        </w:rPr>
        <w:t xml:space="preserve">the </w:t>
      </w:r>
      <w:r w:rsidR="00310EAE" w:rsidRPr="00AB726F">
        <w:rPr>
          <w:rFonts w:ascii="Arial" w:hAnsi="Arial" w:cs="Arial"/>
          <w:sz w:val="22"/>
          <w:szCs w:val="22"/>
        </w:rPr>
        <w:t xml:space="preserve">text associated with footnote </w:t>
      </w:r>
      <w:r w:rsidR="003A4595">
        <w:rPr>
          <w:rFonts w:ascii="Arial" w:hAnsi="Arial" w:cs="Arial"/>
          <w:sz w:val="22"/>
          <w:szCs w:val="22"/>
        </w:rPr>
        <w:t>(7)</w:t>
      </w:r>
      <w:r w:rsidR="00310EAE" w:rsidRPr="00AB726F">
        <w:rPr>
          <w:rFonts w:ascii="Arial" w:hAnsi="Arial" w:cs="Arial"/>
          <w:sz w:val="22"/>
          <w:szCs w:val="22"/>
        </w:rPr>
        <w:t>.</w:t>
      </w:r>
    </w:p>
    <w:p w14:paraId="3DE3DC16" w14:textId="77777777" w:rsidR="006D3AE9" w:rsidRPr="00AB726F" w:rsidRDefault="006D3AE9" w:rsidP="00FE321E">
      <w:pPr>
        <w:pStyle w:val="FootnoteText"/>
        <w:jc w:val="right"/>
        <w:rPr>
          <w:rFonts w:ascii="Arial" w:hAnsi="Arial" w:cs="Arial"/>
          <w:sz w:val="22"/>
          <w:szCs w:val="22"/>
        </w:rPr>
      </w:pPr>
    </w:p>
  </w:footnote>
  <w:footnote w:id="3">
    <w:p w14:paraId="4E34496F" w14:textId="2E352ECA" w:rsidR="00B957A4" w:rsidRPr="00AB726F" w:rsidRDefault="006D3AE9" w:rsidP="00B957A4">
      <w:pPr>
        <w:jc w:val="both"/>
        <w:rPr>
          <w:rFonts w:ascii="Arial" w:eastAsia="Times New Roman"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r w:rsidRPr="00AB726F">
        <w:rPr>
          <w:rFonts w:ascii="Arial" w:hAnsi="Arial" w:cs="Arial"/>
          <w:spacing w:val="-2"/>
          <w:sz w:val="22"/>
          <w:szCs w:val="22"/>
        </w:rPr>
        <w:t>The word "knowingly" has been added to this definition to comport with statutory law (</w:t>
      </w:r>
      <w:r w:rsidRPr="00AB726F">
        <w:rPr>
          <w:rFonts w:ascii="Arial" w:hAnsi="Arial" w:cs="Arial"/>
          <w:i/>
          <w:spacing w:val="-2"/>
          <w:sz w:val="22"/>
          <w:szCs w:val="22"/>
        </w:rPr>
        <w:t xml:space="preserve">see </w:t>
      </w:r>
      <w:r w:rsidRPr="00AB726F">
        <w:rPr>
          <w:rFonts w:ascii="Arial" w:hAnsi="Arial" w:cs="Arial"/>
          <w:spacing w:val="-2"/>
          <w:sz w:val="22"/>
          <w:szCs w:val="22"/>
        </w:rPr>
        <w:t xml:space="preserve">Penal Law § § 15.00(2) and 15.05 [2]) and with case law.  </w:t>
      </w:r>
      <w:r w:rsidR="00B957A4" w:rsidRPr="00AB726F">
        <w:rPr>
          <w:rFonts w:ascii="Arial" w:hAnsi="Arial" w:cs="Arial"/>
          <w:spacing w:val="-2"/>
          <w:sz w:val="22"/>
          <w:szCs w:val="22"/>
        </w:rPr>
        <w:t xml:space="preserve"> </w:t>
      </w:r>
      <w:r w:rsidR="00B957A4" w:rsidRPr="00AB726F">
        <w:rPr>
          <w:rFonts w:ascii="Arial" w:hAnsi="Arial" w:cs="Arial"/>
          <w:i/>
          <w:iCs/>
          <w:spacing w:val="-2"/>
          <w:sz w:val="22"/>
          <w:szCs w:val="22"/>
        </w:rPr>
        <w:t>People v Persce</w:t>
      </w:r>
      <w:r w:rsidR="00B957A4" w:rsidRPr="00AB726F">
        <w:rPr>
          <w:rFonts w:ascii="Arial" w:hAnsi="Arial" w:cs="Arial"/>
          <w:i/>
          <w:spacing w:val="-2"/>
          <w:sz w:val="22"/>
          <w:szCs w:val="22"/>
        </w:rPr>
        <w:t xml:space="preserve">, </w:t>
      </w:r>
      <w:r w:rsidR="00B957A4" w:rsidRPr="00AB726F">
        <w:rPr>
          <w:rFonts w:ascii="Arial" w:hAnsi="Arial" w:cs="Arial"/>
          <w:iCs/>
          <w:spacing w:val="-2"/>
          <w:sz w:val="22"/>
          <w:szCs w:val="22"/>
        </w:rPr>
        <w:t xml:space="preserve">204 NY 397, 402 (1912) ("the possession [of a slungshot] which is meant is a knowing and voluntary one"); </w:t>
      </w:r>
      <w:r w:rsidR="00B957A4" w:rsidRPr="00AB726F">
        <w:rPr>
          <w:rFonts w:ascii="Arial" w:hAnsi="Arial" w:cs="Arial"/>
          <w:i/>
          <w:iCs/>
          <w:spacing w:val="-2"/>
          <w:sz w:val="22"/>
          <w:szCs w:val="22"/>
        </w:rPr>
        <w:t>People v Saunders</w:t>
      </w:r>
      <w:r w:rsidR="00B957A4" w:rsidRPr="00AB726F">
        <w:rPr>
          <w:rFonts w:ascii="Arial" w:hAnsi="Arial" w:cs="Arial"/>
          <w:i/>
          <w:spacing w:val="-2"/>
          <w:sz w:val="22"/>
          <w:szCs w:val="22"/>
        </w:rPr>
        <w:t xml:space="preserve">, </w:t>
      </w:r>
      <w:r w:rsidR="00B957A4" w:rsidRPr="00AB726F">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B957A4" w:rsidRPr="00AB726F">
        <w:rPr>
          <w:rFonts w:ascii="Arial" w:hAnsi="Arial" w:cs="Arial"/>
          <w:i/>
          <w:spacing w:val="-2"/>
          <w:sz w:val="22"/>
          <w:szCs w:val="22"/>
        </w:rPr>
        <w:t xml:space="preserve">People v Ford, </w:t>
      </w:r>
      <w:r w:rsidR="00B957A4" w:rsidRPr="00AB726F">
        <w:rPr>
          <w:rFonts w:ascii="Arial" w:hAnsi="Arial" w:cs="Arial"/>
          <w:spacing w:val="-2"/>
          <w:sz w:val="22"/>
          <w:szCs w:val="22"/>
        </w:rPr>
        <w:t>66 NY2d 428, 440 (1985) (the offense of possession of a loaded firearm requires that the possession be knowing)</w:t>
      </w:r>
      <w:r w:rsidR="00B8766F">
        <w:rPr>
          <w:rFonts w:ascii="Arial" w:hAnsi="Arial" w:cs="Arial"/>
          <w:spacing w:val="-2"/>
          <w:sz w:val="22"/>
          <w:szCs w:val="22"/>
        </w:rPr>
        <w:t>.</w:t>
      </w:r>
    </w:p>
    <w:p w14:paraId="10D4A64E" w14:textId="46F200A3" w:rsidR="006D3AE9" w:rsidRPr="00AB726F" w:rsidRDefault="006D3AE9" w:rsidP="006D3AE9">
      <w:pPr>
        <w:pStyle w:val="FootnoteText"/>
        <w:jc w:val="both"/>
        <w:rPr>
          <w:rFonts w:ascii="Arial" w:hAnsi="Arial" w:cs="Arial"/>
          <w:sz w:val="22"/>
          <w:szCs w:val="22"/>
        </w:rPr>
      </w:pPr>
    </w:p>
  </w:footnote>
  <w:footnote w:id="4">
    <w:p w14:paraId="55518E0A" w14:textId="252EE228" w:rsidR="006D3AE9" w:rsidRPr="00AB726F" w:rsidRDefault="006D3AE9" w:rsidP="00DA6251">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r w:rsidR="00DA6251" w:rsidRPr="00AB726F">
        <w:rPr>
          <w:rFonts w:ascii="Arial" w:hAnsi="Arial" w:cs="Arial"/>
          <w:sz w:val="22"/>
          <w:szCs w:val="22"/>
        </w:rPr>
        <w:t>Penal Law § 265.00(3).  Th</w:t>
      </w:r>
      <w:r w:rsidR="00435283" w:rsidRPr="00AB726F">
        <w:rPr>
          <w:rFonts w:ascii="Arial" w:hAnsi="Arial" w:cs="Arial"/>
          <w:sz w:val="22"/>
          <w:szCs w:val="22"/>
        </w:rPr>
        <w:t>e</w:t>
      </w:r>
      <w:r w:rsidR="00DA6251" w:rsidRPr="00AB726F">
        <w:rPr>
          <w:rFonts w:ascii="Arial" w:hAnsi="Arial" w:cs="Arial"/>
          <w:sz w:val="22"/>
          <w:szCs w:val="22"/>
        </w:rPr>
        <w:t xml:space="preserve"> statutory definition of a “firearm” includes other weapons</w:t>
      </w:r>
      <w:r w:rsidR="00F53C4B" w:rsidRPr="00AB726F">
        <w:rPr>
          <w:rFonts w:ascii="Arial" w:hAnsi="Arial" w:cs="Arial"/>
          <w:sz w:val="22"/>
          <w:szCs w:val="22"/>
        </w:rPr>
        <w:t xml:space="preserve">.  </w:t>
      </w:r>
      <w:r w:rsidR="00DA6251" w:rsidRPr="00AB726F">
        <w:rPr>
          <w:rFonts w:ascii="Arial" w:hAnsi="Arial" w:cs="Arial"/>
          <w:sz w:val="22"/>
          <w:szCs w:val="22"/>
        </w:rPr>
        <w:t>If</w:t>
      </w:r>
      <w:r w:rsidR="002A3841" w:rsidRPr="00AB726F">
        <w:rPr>
          <w:rFonts w:ascii="Arial" w:hAnsi="Arial" w:cs="Arial"/>
          <w:sz w:val="22"/>
          <w:szCs w:val="22"/>
        </w:rPr>
        <w:t>, therefore,</w:t>
      </w:r>
      <w:r w:rsidR="00DA6251" w:rsidRPr="00AB726F">
        <w:rPr>
          <w:rFonts w:ascii="Arial" w:hAnsi="Arial" w:cs="Arial"/>
          <w:sz w:val="22"/>
          <w:szCs w:val="22"/>
        </w:rPr>
        <w:t xml:space="preserve"> a firearm, other than a pistol or revolver, is in issue, see </w:t>
      </w:r>
      <w:r w:rsidR="00F30DB5" w:rsidRPr="00AB726F">
        <w:rPr>
          <w:rFonts w:ascii="Arial" w:hAnsi="Arial" w:cs="Arial"/>
          <w:sz w:val="22"/>
          <w:szCs w:val="22"/>
        </w:rPr>
        <w:t>“</w:t>
      </w:r>
      <w:r w:rsidR="00340DBB" w:rsidRPr="00AB726F">
        <w:rPr>
          <w:rStyle w:val="Strong"/>
          <w:rFonts w:ascii="Arial" w:hAnsi="Arial" w:cs="Arial"/>
          <w:b w:val="0"/>
          <w:bCs w:val="0"/>
          <w:sz w:val="22"/>
          <w:szCs w:val="22"/>
        </w:rPr>
        <w:t>DEFINITION OF FIREARM AS OTHER THAN A PISTOL OR REVOLVER</w:t>
      </w:r>
      <w:r w:rsidR="00F30DB5" w:rsidRPr="00AB726F">
        <w:rPr>
          <w:rStyle w:val="Strong"/>
          <w:rFonts w:ascii="Arial" w:hAnsi="Arial" w:cs="Arial"/>
          <w:b w:val="0"/>
          <w:bCs w:val="0"/>
          <w:sz w:val="22"/>
          <w:szCs w:val="22"/>
        </w:rPr>
        <w:t>”</w:t>
      </w:r>
      <w:r w:rsidR="00340DBB" w:rsidRPr="00AB726F">
        <w:rPr>
          <w:rStyle w:val="Strong"/>
          <w:rFonts w:ascii="Arial" w:hAnsi="Arial" w:cs="Arial"/>
          <w:sz w:val="22"/>
          <w:szCs w:val="22"/>
        </w:rPr>
        <w:t xml:space="preserve"> </w:t>
      </w:r>
      <w:r w:rsidR="00F30DB5" w:rsidRPr="00AB726F">
        <w:rPr>
          <w:rStyle w:val="Strong"/>
          <w:rFonts w:ascii="Arial" w:hAnsi="Arial" w:cs="Arial"/>
          <w:b w:val="0"/>
          <w:bCs w:val="0"/>
          <w:sz w:val="22"/>
          <w:szCs w:val="22"/>
        </w:rPr>
        <w:t>in</w:t>
      </w:r>
      <w:r w:rsidR="00F30DB5" w:rsidRPr="00AB726F">
        <w:rPr>
          <w:rStyle w:val="Strong"/>
          <w:rFonts w:ascii="Arial" w:hAnsi="Arial" w:cs="Arial"/>
          <w:sz w:val="22"/>
          <w:szCs w:val="22"/>
        </w:rPr>
        <w:t xml:space="preserve"> </w:t>
      </w:r>
      <w:r w:rsidR="00F30DB5" w:rsidRPr="00AB726F">
        <w:rPr>
          <w:rFonts w:ascii="Arial" w:hAnsi="Arial" w:cs="Arial"/>
          <w:sz w:val="22"/>
          <w:szCs w:val="22"/>
        </w:rPr>
        <w:t>"Additional Charges”</w:t>
      </w:r>
      <w:r w:rsidR="00DA6251" w:rsidRPr="00AB726F">
        <w:rPr>
          <w:rFonts w:ascii="Arial" w:hAnsi="Arial" w:cs="Arial"/>
          <w:sz w:val="22"/>
          <w:szCs w:val="22"/>
        </w:rPr>
        <w:t xml:space="preserve"> at the end of </w:t>
      </w:r>
      <w:r w:rsidR="00C841EB" w:rsidRPr="00AB726F">
        <w:rPr>
          <w:rFonts w:ascii="Arial" w:hAnsi="Arial" w:cs="Arial"/>
          <w:sz w:val="22"/>
          <w:szCs w:val="22"/>
        </w:rPr>
        <w:t>the Table of Contents</w:t>
      </w:r>
      <w:r w:rsidR="00BC1EF0" w:rsidRPr="00AB726F">
        <w:rPr>
          <w:rFonts w:ascii="Arial" w:hAnsi="Arial" w:cs="Arial"/>
          <w:sz w:val="22"/>
          <w:szCs w:val="22"/>
        </w:rPr>
        <w:t xml:space="preserve"> for Penal Law article 265 crimes.</w:t>
      </w:r>
      <w:r w:rsidR="00354188" w:rsidRPr="00AB726F">
        <w:rPr>
          <w:rFonts w:ascii="Arial" w:hAnsi="Arial" w:cs="Arial"/>
          <w:sz w:val="22"/>
          <w:szCs w:val="22"/>
        </w:rPr>
        <w:t xml:space="preserve"> </w:t>
      </w:r>
    </w:p>
  </w:footnote>
  <w:footnote w:id="5">
    <w:p w14:paraId="5C3D2D9E" w14:textId="160EB81A" w:rsidR="006D3AE9" w:rsidRPr="00AB726F" w:rsidRDefault="006D3AE9" w:rsidP="00F61D3B">
      <w:pPr>
        <w:kinsoku w:val="0"/>
        <w:overflowPunct w:val="0"/>
        <w:autoSpaceDE/>
        <w:autoSpaceDN/>
        <w:adjustRightInd/>
        <w:spacing w:before="232" w:line="278" w:lineRule="exact"/>
        <w:jc w:val="both"/>
        <w:textAlignment w:val="baseline"/>
        <w:rPr>
          <w:rFonts w:ascii="Arial" w:hAnsi="Arial" w:cs="Arial"/>
          <w:sz w:val="22"/>
          <w:szCs w:val="22"/>
        </w:rPr>
      </w:pPr>
      <w:r w:rsidRPr="00AB726F">
        <w:rPr>
          <w:rStyle w:val="FootnoteReference"/>
        </w:rPr>
        <w:footnoteRef/>
      </w:r>
      <w:r w:rsidRPr="00AB726F">
        <w:t xml:space="preserve"> </w:t>
      </w:r>
      <w:r w:rsidRPr="00AB726F">
        <w:rPr>
          <w:rFonts w:ascii="Arial" w:hAnsi="Arial" w:cs="Arial"/>
          <w:sz w:val="22"/>
          <w:szCs w:val="22"/>
        </w:rPr>
        <w:t xml:space="preserve">Penal Law § 10.00(8). </w:t>
      </w:r>
      <w:r w:rsidR="00F61D3B" w:rsidRPr="00AB726F">
        <w:rPr>
          <w:rFonts w:ascii="Arial" w:hAnsi="Arial" w:cs="Arial"/>
          <w:sz w:val="22"/>
          <w:szCs w:val="22"/>
        </w:rPr>
        <w:t xml:space="preserve"> </w:t>
      </w:r>
      <w:r w:rsidRPr="00AB726F">
        <w:rPr>
          <w:rFonts w:ascii="Arial" w:hAnsi="Arial" w:cs="Arial"/>
          <w:sz w:val="22"/>
          <w:szCs w:val="22"/>
        </w:rPr>
        <w:t>Where constructive possession is alleged, or where the People rely on a statutory presumption of possession, see the "Additional Charges” section at the end of the “Table of Contents” of the charges for this article for the appropriate charge.</w:t>
      </w:r>
    </w:p>
    <w:p w14:paraId="0A3E7B8D" w14:textId="320BF1FF" w:rsidR="006D3AE9" w:rsidRPr="00AB726F" w:rsidRDefault="006D3AE9" w:rsidP="00F61D3B">
      <w:pPr>
        <w:pStyle w:val="FootnoteText"/>
        <w:jc w:val="both"/>
        <w:rPr>
          <w:rFonts w:ascii="Arial" w:hAnsi="Arial" w:cs="Arial"/>
          <w:sz w:val="22"/>
          <w:szCs w:val="22"/>
        </w:rPr>
      </w:pPr>
    </w:p>
  </w:footnote>
  <w:footnote w:id="6">
    <w:p w14:paraId="715676EB" w14:textId="77777777" w:rsidR="00E77F97" w:rsidRPr="00AB726F" w:rsidRDefault="00E77F97" w:rsidP="00E77F97">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w:t>
      </w:r>
      <w:bookmarkStart w:id="0" w:name="_Hlk121231229"/>
      <w:r w:rsidRPr="00AB726F">
        <w:rPr>
          <w:rFonts w:ascii="Arial" w:hAnsi="Arial" w:cs="Arial"/>
          <w:i/>
          <w:sz w:val="22"/>
          <w:szCs w:val="22"/>
        </w:rPr>
        <w:t>See</w:t>
      </w:r>
      <w:bookmarkEnd w:id="0"/>
      <w:r>
        <w:rPr>
          <w:rFonts w:ascii="Arial" w:hAnsi="Arial" w:cs="Arial"/>
          <w:i/>
          <w:sz w:val="22"/>
          <w:szCs w:val="22"/>
        </w:rPr>
        <w:t xml:space="preserve"> </w:t>
      </w:r>
      <w:r w:rsidRPr="00AB726F">
        <w:rPr>
          <w:rFonts w:ascii="Arial" w:hAnsi="Arial" w:cs="Arial"/>
          <w:sz w:val="22"/>
          <w:szCs w:val="22"/>
        </w:rPr>
        <w:t>Penal Law § 15.05(2)</w:t>
      </w:r>
      <w:r>
        <w:rPr>
          <w:rFonts w:ascii="Arial" w:hAnsi="Arial" w:cs="Arial"/>
          <w:sz w:val="22"/>
          <w:szCs w:val="22"/>
        </w:rPr>
        <w:t>;</w:t>
      </w:r>
      <w:r w:rsidRPr="00AB726F">
        <w:rPr>
          <w:rFonts w:ascii="Arial" w:eastAsia="Yu Gothic UI" w:hAnsi="Arial" w:cs="Arial"/>
          <w:sz w:val="22"/>
          <w:szCs w:val="22"/>
        </w:rPr>
        <w:t xml:space="preserve"> </w:t>
      </w:r>
      <w:r w:rsidRPr="00AB726F">
        <w:rPr>
          <w:rFonts w:ascii="Arial" w:hAnsi="Arial" w:cs="Arial"/>
          <w:sz w:val="22"/>
          <w:szCs w:val="22"/>
        </w:rPr>
        <w:t xml:space="preserve">For an expanded charge on the definition of "knowingly," see Instructions of General Applicability, Culpable Mental States, Knowingly. </w:t>
      </w:r>
    </w:p>
    <w:p w14:paraId="1D1D06F7" w14:textId="77777777" w:rsidR="00E77F97" w:rsidRPr="00AB726F" w:rsidRDefault="00E77F97" w:rsidP="00E77F97">
      <w:pPr>
        <w:pStyle w:val="FootnoteText"/>
        <w:tabs>
          <w:tab w:val="left" w:pos="3417"/>
        </w:tabs>
        <w:jc w:val="both"/>
        <w:rPr>
          <w:rFonts w:ascii="Arial" w:hAnsi="Arial" w:cs="Arial"/>
          <w:sz w:val="22"/>
          <w:szCs w:val="22"/>
        </w:rPr>
      </w:pPr>
      <w:r w:rsidRPr="00AB726F">
        <w:rPr>
          <w:rFonts w:ascii="Arial" w:hAnsi="Arial" w:cs="Arial"/>
          <w:sz w:val="22"/>
          <w:szCs w:val="22"/>
        </w:rPr>
        <w:tab/>
      </w:r>
    </w:p>
  </w:footnote>
  <w:footnote w:id="7">
    <w:p w14:paraId="7DA0F34A" w14:textId="77777777" w:rsidR="00E77F97" w:rsidRPr="00AB726F" w:rsidRDefault="00E77F97" w:rsidP="00E77F97">
      <w:pPr>
        <w:pStyle w:val="FootnoteText"/>
        <w:jc w:val="both"/>
      </w:pPr>
      <w:r w:rsidRPr="00AB726F">
        <w:rPr>
          <w:rStyle w:val="FootnoteReference"/>
        </w:rPr>
        <w:footnoteRef/>
      </w:r>
      <w:r w:rsidRPr="00AB726F">
        <w:t xml:space="preserve">  </w:t>
      </w:r>
      <w:r w:rsidRPr="00AB726F">
        <w:rPr>
          <w:rFonts w:ascii="Arial" w:hAnsi="Arial" w:cs="Arial"/>
          <w:i/>
          <w:sz w:val="22"/>
          <w:szCs w:val="22"/>
        </w:rPr>
        <w:t>See</w:t>
      </w:r>
      <w:r w:rsidRPr="00AB726F">
        <w:rPr>
          <w:rFonts w:ascii="Arial" w:hAnsi="Arial" w:cs="Arial"/>
          <w:i/>
          <w:spacing w:val="-2"/>
          <w:sz w:val="22"/>
          <w:szCs w:val="22"/>
        </w:rPr>
        <w:t xml:space="preserve"> People v Parrilla</w:t>
      </w:r>
      <w:r w:rsidRPr="00AB726F">
        <w:rPr>
          <w:rFonts w:ascii="Arial" w:hAnsi="Arial" w:cs="Arial"/>
          <w:spacing w:val="-2"/>
          <w:sz w:val="22"/>
          <w:szCs w:val="22"/>
        </w:rPr>
        <w:t xml:space="preserve">, 27 N.Y.3d 400, 405 (2016) </w:t>
      </w:r>
      <w:r>
        <w:rPr>
          <w:rFonts w:ascii="Arial" w:hAnsi="Arial" w:cs="Arial"/>
          <w:spacing w:val="-2"/>
          <w:sz w:val="22"/>
          <w:szCs w:val="22"/>
        </w:rPr>
        <w:t xml:space="preserve">(when possession of </w:t>
      </w:r>
      <w:r w:rsidRPr="00AB726F">
        <w:rPr>
          <w:rFonts w:ascii="Arial" w:eastAsia="Times New Roman" w:hAnsi="Arial" w:cs="Arial"/>
          <w:sz w:val="22"/>
          <w:szCs w:val="22"/>
        </w:rPr>
        <w:t>a gravity knife</w:t>
      </w:r>
      <w:r>
        <w:rPr>
          <w:rFonts w:ascii="Arial" w:eastAsia="Times New Roman" w:hAnsi="Arial" w:cs="Arial"/>
          <w:sz w:val="22"/>
          <w:szCs w:val="22"/>
        </w:rPr>
        <w:t xml:space="preserve"> was a crime, defendants were required to know </w:t>
      </w:r>
      <w:r w:rsidRPr="00AB726F">
        <w:rPr>
          <w:rFonts w:ascii="Arial" w:eastAsia="Times New Roman" w:hAnsi="Arial" w:cs="Arial"/>
          <w:sz w:val="22"/>
          <w:szCs w:val="22"/>
        </w:rPr>
        <w:t xml:space="preserve">that </w:t>
      </w:r>
      <w:r>
        <w:rPr>
          <w:rFonts w:ascii="Arial" w:eastAsia="Times New Roman" w:hAnsi="Arial" w:cs="Arial"/>
          <w:sz w:val="22"/>
          <w:szCs w:val="22"/>
        </w:rPr>
        <w:t>“</w:t>
      </w:r>
      <w:r w:rsidRPr="00AB726F">
        <w:rPr>
          <w:rFonts w:ascii="Arial" w:eastAsia="Times New Roman" w:hAnsi="Arial" w:cs="Arial"/>
          <w:sz w:val="22"/>
          <w:szCs w:val="22"/>
        </w:rPr>
        <w:t xml:space="preserve">they possessed a knife” but the People </w:t>
      </w:r>
      <w:r>
        <w:rPr>
          <w:rFonts w:ascii="Arial" w:eastAsia="Times New Roman" w:hAnsi="Arial" w:cs="Arial"/>
          <w:sz w:val="22"/>
          <w:szCs w:val="22"/>
        </w:rPr>
        <w:t xml:space="preserve">were not </w:t>
      </w:r>
      <w:r w:rsidRPr="00AB726F">
        <w:rPr>
          <w:rFonts w:ascii="Arial" w:eastAsia="Times New Roman" w:hAnsi="Arial" w:cs="Arial"/>
          <w:sz w:val="22"/>
          <w:szCs w:val="22"/>
        </w:rPr>
        <w:t xml:space="preserve">required “to prove that defendants knew that the knife in their possession met the statutory definition of a gravity knife”); </w:t>
      </w:r>
      <w:r w:rsidRPr="00AB726F">
        <w:rPr>
          <w:rFonts w:ascii="Arial" w:eastAsia="Times New Roman" w:hAnsi="Arial" w:cs="Arial"/>
          <w:i/>
          <w:iCs/>
          <w:sz w:val="22"/>
          <w:szCs w:val="22"/>
        </w:rPr>
        <w:t>People v Hernandez</w:t>
      </w:r>
      <w:r w:rsidRPr="00AB726F">
        <w:rPr>
          <w:rFonts w:ascii="Arial" w:eastAsia="Times New Roman" w:hAnsi="Arial" w:cs="Arial"/>
          <w:sz w:val="22"/>
          <w:szCs w:val="22"/>
        </w:rPr>
        <w:t xml:space="preserve">, 180 AD3d 1234, 1237 (3d Dept 2020) </w:t>
      </w:r>
      <w:r>
        <w:rPr>
          <w:rFonts w:ascii="Arial" w:eastAsia="Times New Roman" w:hAnsi="Arial" w:cs="Arial"/>
          <w:sz w:val="22"/>
          <w:szCs w:val="22"/>
        </w:rPr>
        <w:t>(</w:t>
      </w:r>
      <w:r w:rsidRPr="00AB726F">
        <w:rPr>
          <w:rFonts w:ascii="Arial" w:eastAsia="Times New Roman" w:hAnsi="Arial" w:cs="Arial"/>
          <w:sz w:val="22"/>
          <w:szCs w:val="22"/>
        </w:rPr>
        <w:t xml:space="preserve">“Contrary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Pr>
          <w:rFonts w:ascii="Arial" w:eastAsia="Times New Roman" w:hAnsi="Arial" w:cs="Arial"/>
          <w:sz w:val="22"/>
          <w:szCs w:val="22"/>
        </w:rPr>
        <w:t>. . . .</w:t>
      </w:r>
      <w:r w:rsidRPr="00AB726F">
        <w:rPr>
          <w:rFonts w:ascii="Arial" w:eastAsia="Times New Roman" w:hAnsi="Arial" w:cs="Arial"/>
          <w:sz w:val="22"/>
          <w:szCs w:val="22"/>
        </w:rPr>
        <w:t xml:space="preserve">  Accordingly, the People did not have to prove that defendant was aware of the statutory definition of a blackjack</w:t>
      </w:r>
      <w:r>
        <w:rPr>
          <w:rFonts w:ascii="Arial" w:eastAsia="Times New Roman" w:hAnsi="Arial" w:cs="Arial"/>
          <w:sz w:val="22"/>
          <w:szCs w:val="22"/>
        </w:rPr>
        <w:t xml:space="preserve">”); </w:t>
      </w:r>
      <w:r w:rsidRPr="00AB726F">
        <w:rPr>
          <w:rFonts w:ascii="Arial" w:eastAsia="Times New Roman" w:hAnsi="Arial" w:cs="Arial"/>
          <w:i/>
          <w:iCs/>
          <w:sz w:val="22"/>
          <w:szCs w:val="22"/>
        </w:rPr>
        <w:t>People v Steinmetz</w:t>
      </w:r>
      <w:r w:rsidRPr="00AB726F">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AB726F">
        <w:rPr>
          <w:rFonts w:ascii="Arial" w:eastAsia="Times New Roman" w:hAnsi="Arial" w:cs="Arial"/>
          <w:i/>
          <w:iCs/>
          <w:sz w:val="22"/>
          <w:szCs w:val="22"/>
        </w:rPr>
        <w:t>People v Abdullah</w:t>
      </w:r>
      <w:r w:rsidRPr="00AB726F">
        <w:rPr>
          <w:rFonts w:ascii="Arial" w:eastAsia="Times New Roman" w:hAnsi="Arial" w:cs="Arial"/>
          <w:sz w:val="22"/>
          <w:szCs w:val="22"/>
        </w:rPr>
        <w:t>, 206 AD3d 1340, 1344 (3d Dept 2022) (knowing possession of a slungshot is required but a defendant need not know the dictionary definition of slungshot).</w:t>
      </w:r>
    </w:p>
    <w:p w14:paraId="22A25B9D" w14:textId="77777777" w:rsidR="00E77F97" w:rsidRPr="00AB726F" w:rsidRDefault="00E77F97" w:rsidP="00E77F97">
      <w:pPr>
        <w:pStyle w:val="FootnoteText"/>
      </w:pPr>
    </w:p>
  </w:footnote>
  <w:footnote w:id="8">
    <w:p w14:paraId="0CD467C6" w14:textId="643D928D" w:rsidR="00F61D3B" w:rsidRPr="00AB726F" w:rsidRDefault="00F61D3B" w:rsidP="00F61D3B">
      <w:pPr>
        <w:pStyle w:val="FootnoteText"/>
        <w:jc w:val="both"/>
        <w:rPr>
          <w:rFonts w:ascii="Arial" w:hAnsi="Arial" w:cs="Arial"/>
          <w:sz w:val="22"/>
          <w:szCs w:val="22"/>
        </w:rPr>
      </w:pPr>
      <w:r w:rsidRPr="00AB726F">
        <w:rPr>
          <w:rStyle w:val="FootnoteReference"/>
          <w:rFonts w:ascii="Arial" w:hAnsi="Arial" w:cs="Arial"/>
          <w:sz w:val="22"/>
          <w:szCs w:val="22"/>
        </w:rPr>
        <w:footnoteRef/>
      </w:r>
      <w:r w:rsidRPr="00AB726F">
        <w:rPr>
          <w:rFonts w:ascii="Arial" w:hAnsi="Arial" w:cs="Arial"/>
          <w:sz w:val="22"/>
          <w:szCs w:val="22"/>
        </w:rPr>
        <w:t xml:space="preserve"> Case law has added "operability" of a firearm as an element of the crime (</w:t>
      </w:r>
      <w:r w:rsidRPr="00AB726F">
        <w:rPr>
          <w:rFonts w:ascii="Arial" w:hAnsi="Arial" w:cs="Arial"/>
          <w:i/>
          <w:sz w:val="22"/>
          <w:szCs w:val="22"/>
        </w:rPr>
        <w:t xml:space="preserve">see People v Longshore, </w:t>
      </w:r>
      <w:r w:rsidRPr="00AB726F">
        <w:rPr>
          <w:rFonts w:ascii="Arial" w:hAnsi="Arial" w:cs="Arial"/>
          <w:sz w:val="22"/>
          <w:szCs w:val="22"/>
        </w:rPr>
        <w:t xml:space="preserve">86 NY2d 851, 852 </w:t>
      </w:r>
      <w:r w:rsidR="00B24817" w:rsidRPr="00AB726F">
        <w:rPr>
          <w:rFonts w:ascii="Arial" w:hAnsi="Arial" w:cs="Arial"/>
          <w:sz w:val="22"/>
          <w:szCs w:val="22"/>
        </w:rPr>
        <w:t>(</w:t>
      </w:r>
      <w:r w:rsidRPr="00AB726F">
        <w:rPr>
          <w:rFonts w:ascii="Arial" w:hAnsi="Arial" w:cs="Arial"/>
          <w:sz w:val="22"/>
          <w:szCs w:val="22"/>
        </w:rPr>
        <w:t>1995</w:t>
      </w:r>
      <w:r w:rsidR="00B24817" w:rsidRPr="00AB726F">
        <w:rPr>
          <w:rFonts w:ascii="Arial" w:hAnsi="Arial" w:cs="Arial"/>
          <w:sz w:val="22"/>
          <w:szCs w:val="22"/>
        </w:rPr>
        <w:t>)</w:t>
      </w:r>
      <w:r w:rsidRPr="00AB726F">
        <w:rPr>
          <w:rFonts w:ascii="Arial" w:hAnsi="Arial" w:cs="Arial"/>
          <w:sz w:val="22"/>
          <w:szCs w:val="22"/>
        </w:rPr>
        <w:t xml:space="preserve">, but has further held that there is no requirement that the possessor know the firearm was operable </w:t>
      </w:r>
      <w:r w:rsidRPr="00AB726F">
        <w:rPr>
          <w:rFonts w:ascii="Arial" w:hAnsi="Arial" w:cs="Arial"/>
          <w:i/>
          <w:sz w:val="22"/>
          <w:szCs w:val="22"/>
        </w:rPr>
        <w:t>(see People v Parrilla</w:t>
      </w:r>
      <w:r w:rsidRPr="00AB726F">
        <w:rPr>
          <w:rFonts w:ascii="Arial" w:hAnsi="Arial" w:cs="Arial"/>
          <w:sz w:val="22"/>
          <w:szCs w:val="22"/>
        </w:rPr>
        <w:t xml:space="preserve">, 27 N.Y.3d 400 </w:t>
      </w:r>
      <w:r w:rsidR="00B24817" w:rsidRPr="00AB726F">
        <w:rPr>
          <w:rFonts w:ascii="Arial" w:hAnsi="Arial" w:cs="Arial"/>
          <w:sz w:val="22"/>
          <w:szCs w:val="22"/>
        </w:rPr>
        <w:t>(</w:t>
      </w:r>
      <w:r w:rsidRPr="00AB726F">
        <w:rPr>
          <w:rFonts w:ascii="Arial" w:hAnsi="Arial" w:cs="Arial"/>
          <w:sz w:val="22"/>
          <w:szCs w:val="22"/>
        </w:rPr>
        <w:t>2016</w:t>
      </w:r>
      <w:r w:rsidR="00B24817" w:rsidRPr="00AB726F">
        <w:rPr>
          <w:rFonts w:ascii="Arial" w:hAnsi="Arial" w:cs="Arial"/>
          <w:sz w:val="22"/>
          <w:szCs w:val="22"/>
        </w:rPr>
        <w:t>) (</w:t>
      </w:r>
      <w:r w:rsidRPr="00AB726F">
        <w:rPr>
          <w:rFonts w:ascii="Arial" w:hAnsi="Arial" w:cs="Arial"/>
          <w:sz w:val="22"/>
          <w:szCs w:val="22"/>
        </w:rPr>
        <w:t>“Defendants need only knowingly possess a firearm, they need not know that the firearm was loaded or operable”</w:t>
      </w:r>
      <w:r w:rsidR="00B24817" w:rsidRPr="00AB726F">
        <w:rPr>
          <w:rFonts w:ascii="Arial" w:hAnsi="Arial" w:cs="Arial"/>
          <w:sz w:val="22"/>
          <w:szCs w:val="22"/>
        </w:rPr>
        <w:t>)</w:t>
      </w:r>
      <w:r w:rsidRPr="00AB726F">
        <w:rPr>
          <w:rFonts w:ascii="Arial" w:hAnsi="Arial" w:cs="Arial"/>
          <w:sz w:val="22"/>
          <w:szCs w:val="22"/>
        </w:rPr>
        <w:t xml:space="preserve">; </w:t>
      </w:r>
      <w:r w:rsidRPr="00AB726F">
        <w:rPr>
          <w:rFonts w:ascii="Arial" w:hAnsi="Arial" w:cs="Arial"/>
          <w:i/>
          <w:sz w:val="22"/>
          <w:szCs w:val="22"/>
        </w:rPr>
        <w:t xml:space="preserve">People v Saunders, </w:t>
      </w:r>
      <w:r w:rsidRPr="00AB726F">
        <w:rPr>
          <w:rFonts w:ascii="Arial" w:hAnsi="Arial" w:cs="Arial"/>
          <w:sz w:val="22"/>
          <w:szCs w:val="22"/>
        </w:rPr>
        <w:t xml:space="preserve">85 NY2d 339, 341-342 </w:t>
      </w:r>
      <w:r w:rsidR="00B24817" w:rsidRPr="00AB726F">
        <w:rPr>
          <w:rFonts w:ascii="Arial" w:hAnsi="Arial" w:cs="Arial"/>
          <w:sz w:val="22"/>
          <w:szCs w:val="22"/>
        </w:rPr>
        <w:t>(</w:t>
      </w:r>
      <w:r w:rsidRPr="00AB726F">
        <w:rPr>
          <w:rFonts w:ascii="Arial" w:hAnsi="Arial" w:cs="Arial"/>
          <w:sz w:val="22"/>
          <w:szCs w:val="22"/>
        </w:rPr>
        <w:t>1995</w:t>
      </w:r>
      <w:r w:rsidR="00B24817" w:rsidRPr="00AB726F">
        <w:rPr>
          <w:rFonts w:ascii="Arial" w:hAnsi="Arial" w:cs="Arial"/>
          <w:sz w:val="22"/>
          <w:szCs w:val="22"/>
        </w:rPr>
        <w:t>)</w:t>
      </w:r>
      <w:r w:rsidRPr="00AB726F">
        <w:rPr>
          <w:rFonts w:ascii="Arial" w:hAnsi="Arial" w:cs="Arial"/>
          <w:sz w:val="22"/>
          <w:szCs w:val="22"/>
        </w:rPr>
        <w:t xml:space="preserve">; </w:t>
      </w:r>
      <w:r w:rsidRPr="00AB726F">
        <w:rPr>
          <w:rFonts w:ascii="Arial" w:hAnsi="Arial" w:cs="Arial"/>
          <w:i/>
          <w:sz w:val="22"/>
          <w:szCs w:val="22"/>
        </w:rPr>
        <w:t xml:space="preserve">People v Ansare, </w:t>
      </w:r>
      <w:r w:rsidRPr="00AB726F">
        <w:rPr>
          <w:rFonts w:ascii="Arial" w:hAnsi="Arial" w:cs="Arial"/>
          <w:sz w:val="22"/>
          <w:szCs w:val="22"/>
        </w:rPr>
        <w:t xml:space="preserve">96 AD2d 96, 97 </w:t>
      </w:r>
      <w:r w:rsidR="00B24817" w:rsidRPr="00AB726F">
        <w:rPr>
          <w:rFonts w:ascii="Arial" w:hAnsi="Arial" w:cs="Arial"/>
          <w:sz w:val="22"/>
          <w:szCs w:val="22"/>
        </w:rPr>
        <w:t>(</w:t>
      </w:r>
      <w:r w:rsidRPr="00AB726F">
        <w:rPr>
          <w:rFonts w:ascii="Arial" w:hAnsi="Arial" w:cs="Arial"/>
          <w:sz w:val="22"/>
          <w:szCs w:val="22"/>
        </w:rPr>
        <w:t>4th Dept 1983).</w:t>
      </w:r>
      <w:r w:rsidR="006F4266" w:rsidRPr="006F4266">
        <w:rPr>
          <w:rFonts w:ascii="Arial" w:hAnsi="Arial" w:cs="Arial"/>
          <w:sz w:val="22"/>
          <w:szCs w:val="22"/>
        </w:rPr>
        <w:t xml:space="preserve"> </w:t>
      </w:r>
      <w:r w:rsidR="006F4266">
        <w:rPr>
          <w:rFonts w:ascii="Arial" w:hAnsi="Arial" w:cs="Arial"/>
          <w:sz w:val="22"/>
          <w:szCs w:val="22"/>
        </w:rPr>
        <w:t>In December 2022, the last sentence was substituted for: “The defendant is not required to know that it is operable.”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64E8"/>
    <w:multiLevelType w:val="singleLevel"/>
    <w:tmpl w:val="5BAEB1D1"/>
    <w:lvl w:ilvl="0">
      <w:start w:val="1"/>
      <w:numFmt w:val="decimal"/>
      <w:lvlText w:val="%1."/>
      <w:lvlJc w:val="left"/>
      <w:pPr>
        <w:tabs>
          <w:tab w:val="num" w:pos="1440"/>
        </w:tabs>
        <w:ind w:left="1440" w:hanging="720"/>
      </w:pPr>
      <w:rPr>
        <w:rFonts w:ascii="Arial" w:hAnsi="Arial"/>
        <w:snapToGrid/>
        <w:sz w:val="28"/>
      </w:rPr>
    </w:lvl>
  </w:abstractNum>
  <w:num w:numId="1" w16cid:durableId="167471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7F"/>
    <w:rsid w:val="0000282C"/>
    <w:rsid w:val="000124E1"/>
    <w:rsid w:val="00032236"/>
    <w:rsid w:val="000359BE"/>
    <w:rsid w:val="00062316"/>
    <w:rsid w:val="000A237E"/>
    <w:rsid w:val="000F358F"/>
    <w:rsid w:val="001015B9"/>
    <w:rsid w:val="00134F1F"/>
    <w:rsid w:val="0017364C"/>
    <w:rsid w:val="00177D14"/>
    <w:rsid w:val="0019449B"/>
    <w:rsid w:val="001A2DF7"/>
    <w:rsid w:val="001A4081"/>
    <w:rsid w:val="001B6C06"/>
    <w:rsid w:val="001E221C"/>
    <w:rsid w:val="0020095A"/>
    <w:rsid w:val="00285B1A"/>
    <w:rsid w:val="00294DAB"/>
    <w:rsid w:val="00296E74"/>
    <w:rsid w:val="002A3841"/>
    <w:rsid w:val="002B0DF6"/>
    <w:rsid w:val="002B56DD"/>
    <w:rsid w:val="002D6C00"/>
    <w:rsid w:val="00310EAE"/>
    <w:rsid w:val="00340DBB"/>
    <w:rsid w:val="00354188"/>
    <w:rsid w:val="00366C6E"/>
    <w:rsid w:val="003704C6"/>
    <w:rsid w:val="00376E7F"/>
    <w:rsid w:val="003A0D61"/>
    <w:rsid w:val="003A4595"/>
    <w:rsid w:val="003B7B67"/>
    <w:rsid w:val="00423AD5"/>
    <w:rsid w:val="00435283"/>
    <w:rsid w:val="004A7FA7"/>
    <w:rsid w:val="004F2FAE"/>
    <w:rsid w:val="00506104"/>
    <w:rsid w:val="0051160D"/>
    <w:rsid w:val="00512C96"/>
    <w:rsid w:val="0055193D"/>
    <w:rsid w:val="005614B3"/>
    <w:rsid w:val="005754D9"/>
    <w:rsid w:val="005B1188"/>
    <w:rsid w:val="005C3CEF"/>
    <w:rsid w:val="005E7E49"/>
    <w:rsid w:val="00687754"/>
    <w:rsid w:val="006A73AE"/>
    <w:rsid w:val="006C4CBA"/>
    <w:rsid w:val="006D3AE9"/>
    <w:rsid w:val="006E3A0F"/>
    <w:rsid w:val="006F4266"/>
    <w:rsid w:val="00724010"/>
    <w:rsid w:val="00741D42"/>
    <w:rsid w:val="007D563B"/>
    <w:rsid w:val="00824AE4"/>
    <w:rsid w:val="00834F0D"/>
    <w:rsid w:val="0086268B"/>
    <w:rsid w:val="008772A6"/>
    <w:rsid w:val="008A4105"/>
    <w:rsid w:val="008B4843"/>
    <w:rsid w:val="00901506"/>
    <w:rsid w:val="009400CF"/>
    <w:rsid w:val="00974A1A"/>
    <w:rsid w:val="00976C42"/>
    <w:rsid w:val="009E1214"/>
    <w:rsid w:val="009E282C"/>
    <w:rsid w:val="009E3957"/>
    <w:rsid w:val="00A12AC0"/>
    <w:rsid w:val="00A23793"/>
    <w:rsid w:val="00A3173F"/>
    <w:rsid w:val="00A80FBF"/>
    <w:rsid w:val="00AB726F"/>
    <w:rsid w:val="00AB7AB5"/>
    <w:rsid w:val="00AC27A6"/>
    <w:rsid w:val="00AF3DF6"/>
    <w:rsid w:val="00B02C5F"/>
    <w:rsid w:val="00B24817"/>
    <w:rsid w:val="00B829AD"/>
    <w:rsid w:val="00B8766F"/>
    <w:rsid w:val="00B94AA2"/>
    <w:rsid w:val="00B957A4"/>
    <w:rsid w:val="00BC1EF0"/>
    <w:rsid w:val="00C841EB"/>
    <w:rsid w:val="00CA4887"/>
    <w:rsid w:val="00D13DC9"/>
    <w:rsid w:val="00D74848"/>
    <w:rsid w:val="00D8516B"/>
    <w:rsid w:val="00D92781"/>
    <w:rsid w:val="00DA6251"/>
    <w:rsid w:val="00DD3B78"/>
    <w:rsid w:val="00DD4740"/>
    <w:rsid w:val="00E0231C"/>
    <w:rsid w:val="00E25188"/>
    <w:rsid w:val="00E37875"/>
    <w:rsid w:val="00E56086"/>
    <w:rsid w:val="00E77F97"/>
    <w:rsid w:val="00EC0138"/>
    <w:rsid w:val="00ED6AC3"/>
    <w:rsid w:val="00ED7DA7"/>
    <w:rsid w:val="00F027AD"/>
    <w:rsid w:val="00F30DB5"/>
    <w:rsid w:val="00F35E03"/>
    <w:rsid w:val="00F53C4B"/>
    <w:rsid w:val="00F61D3B"/>
    <w:rsid w:val="00FB3F91"/>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4BF02"/>
  <w14:defaultImageDpi w14:val="0"/>
  <w15:docId w15:val="{737BCD97-0725-471E-8FE1-3BB30EF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10"/>
    <w:pPr>
      <w:tabs>
        <w:tab w:val="center" w:pos="4680"/>
        <w:tab w:val="right" w:pos="9360"/>
      </w:tabs>
    </w:pPr>
  </w:style>
  <w:style w:type="character" w:customStyle="1" w:styleId="HeaderChar">
    <w:name w:val="Header Char"/>
    <w:basedOn w:val="DefaultParagraphFont"/>
    <w:link w:val="Header"/>
    <w:uiPriority w:val="99"/>
    <w:rsid w:val="00724010"/>
    <w:rPr>
      <w:rFonts w:ascii="Times New Roman" w:hAnsi="Times New Roman" w:cs="Times New Roman"/>
      <w:sz w:val="20"/>
      <w:szCs w:val="24"/>
    </w:rPr>
  </w:style>
  <w:style w:type="paragraph" w:styleId="Footer">
    <w:name w:val="footer"/>
    <w:basedOn w:val="Normal"/>
    <w:link w:val="FooterChar"/>
    <w:uiPriority w:val="99"/>
    <w:unhideWhenUsed/>
    <w:rsid w:val="00724010"/>
    <w:pPr>
      <w:tabs>
        <w:tab w:val="center" w:pos="4680"/>
        <w:tab w:val="right" w:pos="9360"/>
      </w:tabs>
    </w:pPr>
  </w:style>
  <w:style w:type="character" w:customStyle="1" w:styleId="FooterChar">
    <w:name w:val="Footer Char"/>
    <w:basedOn w:val="DefaultParagraphFont"/>
    <w:link w:val="Footer"/>
    <w:uiPriority w:val="99"/>
    <w:rsid w:val="00724010"/>
    <w:rPr>
      <w:rFonts w:ascii="Times New Roman" w:hAnsi="Times New Roman" w:cs="Times New Roman"/>
      <w:sz w:val="20"/>
      <w:szCs w:val="24"/>
    </w:rPr>
  </w:style>
  <w:style w:type="paragraph" w:styleId="FootnoteText">
    <w:name w:val="footnote text"/>
    <w:basedOn w:val="Normal"/>
    <w:link w:val="FootnoteTextChar"/>
    <w:uiPriority w:val="99"/>
    <w:semiHidden/>
    <w:unhideWhenUsed/>
    <w:rsid w:val="006D3AE9"/>
    <w:rPr>
      <w:szCs w:val="20"/>
    </w:rPr>
  </w:style>
  <w:style w:type="character" w:customStyle="1" w:styleId="FootnoteTextChar">
    <w:name w:val="Footnote Text Char"/>
    <w:basedOn w:val="DefaultParagraphFont"/>
    <w:link w:val="FootnoteText"/>
    <w:uiPriority w:val="99"/>
    <w:semiHidden/>
    <w:rsid w:val="006D3AE9"/>
    <w:rPr>
      <w:rFonts w:ascii="Times New Roman" w:hAnsi="Times New Roman" w:cs="Times New Roman"/>
      <w:sz w:val="20"/>
      <w:szCs w:val="20"/>
    </w:rPr>
  </w:style>
  <w:style w:type="character" w:styleId="FootnoteReference">
    <w:name w:val="footnote reference"/>
    <w:basedOn w:val="DefaultParagraphFont"/>
    <w:uiPriority w:val="99"/>
    <w:unhideWhenUsed/>
    <w:rsid w:val="006D3AE9"/>
    <w:rPr>
      <w:vertAlign w:val="superscript"/>
    </w:rPr>
  </w:style>
  <w:style w:type="character" w:styleId="Strong">
    <w:name w:val="Strong"/>
    <w:basedOn w:val="DefaultParagraphFont"/>
    <w:uiPriority w:val="22"/>
    <w:qFormat/>
    <w:rsid w:val="00340DBB"/>
    <w:rPr>
      <w:b/>
      <w:bCs/>
    </w:rPr>
  </w:style>
  <w:style w:type="paragraph" w:styleId="EndnoteText">
    <w:name w:val="endnote text"/>
    <w:basedOn w:val="Normal"/>
    <w:link w:val="EndnoteTextChar"/>
    <w:uiPriority w:val="99"/>
    <w:semiHidden/>
    <w:unhideWhenUsed/>
    <w:rsid w:val="00366C6E"/>
    <w:rPr>
      <w:szCs w:val="20"/>
    </w:rPr>
  </w:style>
  <w:style w:type="character" w:customStyle="1" w:styleId="EndnoteTextChar">
    <w:name w:val="Endnote Text Char"/>
    <w:basedOn w:val="DefaultParagraphFont"/>
    <w:link w:val="EndnoteText"/>
    <w:uiPriority w:val="99"/>
    <w:semiHidden/>
    <w:rsid w:val="00366C6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66C6E"/>
    <w:rPr>
      <w:vertAlign w:val="superscript"/>
    </w:rPr>
  </w:style>
  <w:style w:type="character" w:styleId="Hyperlink">
    <w:name w:val="Hyperlink"/>
    <w:basedOn w:val="DefaultParagraphFont"/>
    <w:uiPriority w:val="99"/>
    <w:unhideWhenUsed/>
    <w:rsid w:val="001015B9"/>
    <w:rPr>
      <w:color w:val="0563C1" w:themeColor="hyperlink"/>
      <w:u w:val="single"/>
    </w:rPr>
  </w:style>
  <w:style w:type="character" w:styleId="UnresolvedMention">
    <w:name w:val="Unresolved Mention"/>
    <w:basedOn w:val="DefaultParagraphFont"/>
    <w:uiPriority w:val="99"/>
    <w:semiHidden/>
    <w:unhideWhenUsed/>
    <w:rsid w:val="00101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295">
      <w:bodyDiv w:val="1"/>
      <w:marLeft w:val="0"/>
      <w:marRight w:val="0"/>
      <w:marTop w:val="0"/>
      <w:marBottom w:val="0"/>
      <w:divBdr>
        <w:top w:val="none" w:sz="0" w:space="0" w:color="auto"/>
        <w:left w:val="none" w:sz="0" w:space="0" w:color="auto"/>
        <w:bottom w:val="none" w:sz="0" w:space="0" w:color="auto"/>
        <w:right w:val="none" w:sz="0" w:space="0" w:color="auto"/>
      </w:divBdr>
      <w:divsChild>
        <w:div w:id="1078794262">
          <w:marLeft w:val="0"/>
          <w:marRight w:val="0"/>
          <w:marTop w:val="0"/>
          <w:marBottom w:val="0"/>
          <w:divBdr>
            <w:top w:val="none" w:sz="0" w:space="0" w:color="auto"/>
            <w:left w:val="none" w:sz="0" w:space="0" w:color="auto"/>
            <w:bottom w:val="none" w:sz="0" w:space="0" w:color="auto"/>
            <w:right w:val="none" w:sz="0" w:space="0" w:color="auto"/>
          </w:divBdr>
          <w:divsChild>
            <w:div w:id="1623875706">
              <w:marLeft w:val="0"/>
              <w:marRight w:val="0"/>
              <w:marTop w:val="0"/>
              <w:marBottom w:val="0"/>
              <w:divBdr>
                <w:top w:val="none" w:sz="0" w:space="0" w:color="auto"/>
                <w:left w:val="none" w:sz="0" w:space="0" w:color="auto"/>
                <w:bottom w:val="none" w:sz="0" w:space="0" w:color="auto"/>
                <w:right w:val="none" w:sz="0" w:space="0" w:color="auto"/>
              </w:divBdr>
              <w:divsChild>
                <w:div w:id="10991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6142">
      <w:bodyDiv w:val="1"/>
      <w:marLeft w:val="0"/>
      <w:marRight w:val="0"/>
      <w:marTop w:val="0"/>
      <w:marBottom w:val="0"/>
      <w:divBdr>
        <w:top w:val="none" w:sz="0" w:space="0" w:color="auto"/>
        <w:left w:val="none" w:sz="0" w:space="0" w:color="auto"/>
        <w:bottom w:val="none" w:sz="0" w:space="0" w:color="auto"/>
        <w:right w:val="none" w:sz="0" w:space="0" w:color="auto"/>
      </w:divBdr>
      <w:divsChild>
        <w:div w:id="1983583731">
          <w:marLeft w:val="0"/>
          <w:marRight w:val="0"/>
          <w:marTop w:val="0"/>
          <w:marBottom w:val="0"/>
          <w:divBdr>
            <w:top w:val="none" w:sz="0" w:space="0" w:color="auto"/>
            <w:left w:val="none" w:sz="0" w:space="0" w:color="auto"/>
            <w:bottom w:val="none" w:sz="0" w:space="0" w:color="auto"/>
            <w:right w:val="none" w:sz="0" w:space="0" w:color="auto"/>
          </w:divBdr>
          <w:divsChild>
            <w:div w:id="28991491">
              <w:marLeft w:val="0"/>
              <w:marRight w:val="0"/>
              <w:marTop w:val="0"/>
              <w:marBottom w:val="0"/>
              <w:divBdr>
                <w:top w:val="none" w:sz="0" w:space="0" w:color="auto"/>
                <w:left w:val="none" w:sz="0" w:space="0" w:color="auto"/>
                <w:bottom w:val="none" w:sz="0" w:space="0" w:color="auto"/>
                <w:right w:val="none" w:sz="0" w:space="0" w:color="auto"/>
              </w:divBdr>
              <w:divsChild>
                <w:div w:id="14195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3430">
      <w:bodyDiv w:val="1"/>
      <w:marLeft w:val="0"/>
      <w:marRight w:val="0"/>
      <w:marTop w:val="0"/>
      <w:marBottom w:val="0"/>
      <w:divBdr>
        <w:top w:val="none" w:sz="0" w:space="0" w:color="auto"/>
        <w:left w:val="none" w:sz="0" w:space="0" w:color="auto"/>
        <w:bottom w:val="none" w:sz="0" w:space="0" w:color="auto"/>
        <w:right w:val="none" w:sz="0" w:space="0" w:color="auto"/>
      </w:divBdr>
      <w:divsChild>
        <w:div w:id="912810112">
          <w:marLeft w:val="0"/>
          <w:marRight w:val="0"/>
          <w:marTop w:val="0"/>
          <w:marBottom w:val="0"/>
          <w:divBdr>
            <w:top w:val="none" w:sz="0" w:space="0" w:color="auto"/>
            <w:left w:val="none" w:sz="0" w:space="0" w:color="auto"/>
            <w:bottom w:val="none" w:sz="0" w:space="0" w:color="auto"/>
            <w:right w:val="none" w:sz="0" w:space="0" w:color="auto"/>
          </w:divBdr>
          <w:divsChild>
            <w:div w:id="248854169">
              <w:marLeft w:val="0"/>
              <w:marRight w:val="0"/>
              <w:marTop w:val="0"/>
              <w:marBottom w:val="0"/>
              <w:divBdr>
                <w:top w:val="none" w:sz="0" w:space="0" w:color="auto"/>
                <w:left w:val="none" w:sz="0" w:space="0" w:color="auto"/>
                <w:bottom w:val="none" w:sz="0" w:space="0" w:color="auto"/>
                <w:right w:val="none" w:sz="0" w:space="0" w:color="auto"/>
              </w:divBdr>
              <w:divsChild>
                <w:div w:id="487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sChild>
        <w:div w:id="2082019228">
          <w:marLeft w:val="0"/>
          <w:marRight w:val="0"/>
          <w:marTop w:val="0"/>
          <w:marBottom w:val="0"/>
          <w:divBdr>
            <w:top w:val="none" w:sz="0" w:space="0" w:color="auto"/>
            <w:left w:val="none" w:sz="0" w:space="0" w:color="auto"/>
            <w:bottom w:val="none" w:sz="0" w:space="0" w:color="auto"/>
            <w:right w:val="none" w:sz="0" w:space="0" w:color="auto"/>
          </w:divBdr>
          <w:divsChild>
            <w:div w:id="188178005">
              <w:marLeft w:val="0"/>
              <w:marRight w:val="0"/>
              <w:marTop w:val="0"/>
              <w:marBottom w:val="0"/>
              <w:divBdr>
                <w:top w:val="none" w:sz="0" w:space="0" w:color="auto"/>
                <w:left w:val="none" w:sz="0" w:space="0" w:color="auto"/>
                <w:bottom w:val="none" w:sz="0" w:space="0" w:color="auto"/>
                <w:right w:val="none" w:sz="0" w:space="0" w:color="auto"/>
              </w:divBdr>
              <w:divsChild>
                <w:div w:id="14683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0349">
      <w:bodyDiv w:val="1"/>
      <w:marLeft w:val="0"/>
      <w:marRight w:val="0"/>
      <w:marTop w:val="0"/>
      <w:marBottom w:val="0"/>
      <w:divBdr>
        <w:top w:val="none" w:sz="0" w:space="0" w:color="auto"/>
        <w:left w:val="none" w:sz="0" w:space="0" w:color="auto"/>
        <w:bottom w:val="none" w:sz="0" w:space="0" w:color="auto"/>
        <w:right w:val="none" w:sz="0" w:space="0" w:color="auto"/>
      </w:divBdr>
      <w:divsChild>
        <w:div w:id="1187518578">
          <w:marLeft w:val="0"/>
          <w:marRight w:val="0"/>
          <w:marTop w:val="0"/>
          <w:marBottom w:val="0"/>
          <w:divBdr>
            <w:top w:val="none" w:sz="0" w:space="0" w:color="auto"/>
            <w:left w:val="none" w:sz="0" w:space="0" w:color="auto"/>
            <w:bottom w:val="none" w:sz="0" w:space="0" w:color="auto"/>
            <w:right w:val="none" w:sz="0" w:space="0" w:color="auto"/>
          </w:divBdr>
          <w:divsChild>
            <w:div w:id="371685917">
              <w:marLeft w:val="0"/>
              <w:marRight w:val="0"/>
              <w:marTop w:val="0"/>
              <w:marBottom w:val="0"/>
              <w:divBdr>
                <w:top w:val="none" w:sz="0" w:space="0" w:color="auto"/>
                <w:left w:val="none" w:sz="0" w:space="0" w:color="auto"/>
                <w:bottom w:val="none" w:sz="0" w:space="0" w:color="auto"/>
                <w:right w:val="none" w:sz="0" w:space="0" w:color="auto"/>
              </w:divBdr>
              <w:divsChild>
                <w:div w:id="19381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5593">
      <w:bodyDiv w:val="1"/>
      <w:marLeft w:val="0"/>
      <w:marRight w:val="0"/>
      <w:marTop w:val="0"/>
      <w:marBottom w:val="0"/>
      <w:divBdr>
        <w:top w:val="none" w:sz="0" w:space="0" w:color="auto"/>
        <w:left w:val="none" w:sz="0" w:space="0" w:color="auto"/>
        <w:bottom w:val="none" w:sz="0" w:space="0" w:color="auto"/>
        <w:right w:val="none" w:sz="0" w:space="0" w:color="auto"/>
      </w:divBdr>
      <w:divsChild>
        <w:div w:id="2130665271">
          <w:marLeft w:val="0"/>
          <w:marRight w:val="0"/>
          <w:marTop w:val="0"/>
          <w:marBottom w:val="0"/>
          <w:divBdr>
            <w:top w:val="none" w:sz="0" w:space="0" w:color="auto"/>
            <w:left w:val="none" w:sz="0" w:space="0" w:color="auto"/>
            <w:bottom w:val="none" w:sz="0" w:space="0" w:color="auto"/>
            <w:right w:val="none" w:sz="0" w:space="0" w:color="auto"/>
          </w:divBdr>
          <w:divsChild>
            <w:div w:id="4493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DF9C-FB4B-4E8C-8E04-E7C09141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305</Words>
  <Characters>1423</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14</cp:revision>
  <cp:lastPrinted>2022-12-07T21:34:00Z</cp:lastPrinted>
  <dcterms:created xsi:type="dcterms:W3CDTF">2022-11-30T19:36:00Z</dcterms:created>
  <dcterms:modified xsi:type="dcterms:W3CDTF">2022-12-07T21:34:00Z</dcterms:modified>
</cp:coreProperties>
</file>