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fId0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3" w:after="0" w:line="331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AGGRAVATED HARASSMENT OF AN EMPLOYEE</w:t>
        <w:br/>
      </w: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BY AN INMATE</w:t>
        <w:br/>
      </w: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Penal Law § 240.32</w:t>
        <w:br/>
      </w:r>
      <w:r>
        <w:rPr>
          <w:rFonts w:ascii="Arial" w:hAnsi="Arial" w:eastAsia="Arial"/>
          <w:b w:val="true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(Committed on or after Nov. 1, 2000)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superscript"/>
          <w:lang w:val="en-US"/>
        </w:rPr>
        <w:t xml:space="preserve">1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spacing w:before="645" w:after="0" w:line="326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The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(</w: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specify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)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 count is Aggravated Harassment of an Employee by an Inmate.</w:t>
      </w:r>
    </w:p>
    <w:p>
      <w:pPr>
        <w:pageBreakBefore w:val="false"/>
        <w:spacing w:before="323" w:after="0" w:line="325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Under our law, an inmate [or respondent] is guilty of Aggravated Harassment of an Employee by an Inmate when, with intent to harass, annoy, threaten or alarm a person in a facility whom he or she knows or reasonably should know to be</w:t>
      </w:r>
    </w:p>
    <w:p>
      <w:pPr>
        <w:pageBreakBefore w:val="false"/>
        <w:spacing w:before="5" w:after="0" w:line="643" w:lineRule="exact"/>
        <w:ind w:right="0" w:left="720" w:firstLine="0"/>
        <w:jc w:val="left"/>
        <w:textAlignment w:val="baseline"/>
        <w:rPr>
          <w:rFonts w:ascii="Arial" w:hAnsi="Arial" w:eastAsia="Arial"/>
          <w:i w:val="true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</w:pP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Select appropriate alternative:</w:t>
        <w:br/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an employee of</w:t>
      </w:r>
    </w:p>
    <w:p>
      <w:pPr>
        <w:pageBreakBefore w:val="false"/>
        <w:spacing w:before="331" w:after="0" w:line="317" w:lineRule="exact"/>
        <w:ind w:right="0" w:left="144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such facility or</w:t>
      </w:r>
    </w:p>
    <w:p>
      <w:pPr>
        <w:pageBreakBefore w:val="false"/>
        <w:spacing w:before="5" w:after="0" w:line="317" w:lineRule="exact"/>
        <w:ind w:right="0" w:left="144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the board of parole or</w:t>
      </w:r>
    </w:p>
    <w:p>
      <w:pPr>
        <w:pageBreakBefore w:val="false"/>
        <w:spacing w:before="9" w:after="0" w:line="317" w:lineRule="exact"/>
        <w:ind w:right="0" w:left="144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the office of mental health, or</w:t>
      </w:r>
    </w:p>
    <w:p>
      <w:pPr>
        <w:pageBreakBefore w:val="false"/>
        <w:spacing w:before="9" w:after="0" w:line="317" w:lineRule="exact"/>
        <w:ind w:right="0" w:left="0" w:firstLine="0"/>
        <w:jc w:val="center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a probation department, bureau or unit</w:t>
      </w:r>
    </w:p>
    <w:p>
      <w:pPr>
        <w:pageBreakBefore w:val="false"/>
        <w:spacing w:before="331" w:after="0" w:line="317" w:lineRule="exact"/>
        <w:ind w:right="0" w:left="72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-1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1"/>
          <w:w w:val="100"/>
          <w:sz w:val="28"/>
          <w:vertAlign w:val="baseline"/>
          <w:lang w:val="en-US"/>
        </w:rPr>
        <w:t xml:space="preserve">a police officer,</w:t>
      </w:r>
    </w:p>
    <w:p>
      <w:pPr>
        <w:pageBreakBefore w:val="false"/>
        <w:spacing w:before="322" w:after="2338" w:line="324" w:lineRule="exact"/>
        <w:ind w:right="0" w:left="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he or she causes or attempts to cause such employee [or police officer] to come into contact with blood, seminal fluid, urine, feces, or the contents of a toilet bowl, by throwing, tossing or expelling such fluid or material.</w:t>
      </w:r>
    </w:p>
    <w:p>
      <w:pPr>
        <w:pageBreakBefore w:val="false"/>
        <w:spacing w:before="253" w:after="0" w:line="275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-2"/>
          <w:w w:val="100"/>
          <w:sz w:val="14"/>
          <w:vertAlign w:val="superscript"/>
          <w:lang w:val="en-US"/>
        </w:rPr>
      </w:pPr>
      <w:r>
        <w:pict>
          <v:line strokeweight="0.95pt" strokecolor="#000000" from="107.75pt,643.2pt" to="252.05pt,643.2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-2"/>
          <w:w w:val="100"/>
          <w:sz w:val="14"/>
          <w:vertAlign w:val="superscript"/>
          <w:lang w:val="en-US"/>
        </w:rPr>
        <w:t xml:space="preserve">1</w:t>
      </w:r>
      <w:r>
        <w:rPr>
          <w:rFonts w:ascii="Arial" w:hAnsi="Arial" w:eastAsia="Arial"/>
          <w:strike w:val="false"/>
          <w:color w:val="000000"/>
          <w:spacing w:val="-2"/>
          <w:w w:val="100"/>
          <w:sz w:val="24"/>
          <w:vertAlign w:val="baseline"/>
          <w:lang w:val="en-US"/>
        </w:rPr>
        <w:t xml:space="preserve"> There have been two amendments since November 1, 2000. The first, effective March 31, 2011, simply made the statutory language gender-neutral and changed “division of parole” to “board of parole.” L 2011, ch 62. The second amendment, effective November 1, 2013 added the words “or the contents of a toilet bowl” to the definition of the crime. L 2013, ch 180. For crimes committed prior to November 1, 2013, omit that phrase.</w:t>
      </w:r>
    </w:p>
    <w:p>
      <w:pPr>
        <w:sectPr>
          <w:type w:val="nextPage"/>
          <w:pgSz w:w="12240" w:h="15840" w:orient="portrait"/>
          <w:pgMar w:bottom="664" w:top="1080" w:right="2145" w:left="2155" w:header="720" w:footer="0"/>
          <w:titlePg w:val="false"/>
          <w:textDirection w:val="lrTb"/>
        </w:sectPr>
      </w:pPr>
    </w:p>
    <w:p>
      <w:pPr>
        <w:pageBreakBefore w:val="false"/>
        <w:spacing w:before="2" w:after="0" w:line="325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The following terms used in that definition have a special meaning:</w:t>
      </w:r>
    </w:p>
    <w:p>
      <w:pPr>
        <w:pageBreakBefore w:val="false"/>
        <w:spacing w:before="336" w:after="0" w:line="314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INTENT means conscious objective or purpose. Thus, a person acts with intent to harass, annoy, threaten or alarm a person when his or her conscious objective or purpose is to do so.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superscript"/>
          <w:lang w:val="en-US"/>
        </w:rPr>
        <w:t xml:space="preserve">2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spacing w:before="347" w:after="0" w:line="325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INMATE means an inmate or detainee in a correctional facility, local correctional facility or a hospital.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superscript"/>
          <w:lang w:val="en-US"/>
        </w:rPr>
        <w:t xml:space="preserve">3</w:t>
      </w:r>
      <w:r>
        <w:rPr>
          <w:rFonts w:ascii="Arial" w:hAnsi="Arial" w:eastAsia="Arial"/>
          <w:strike w:val="false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spacing w:before="317" w:after="0" w:line="325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[RESPONDENT means a juvenile in a secure facility operated and maintained by the office of children and family services who is placed with or committed to the office of children and family services.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superscript"/>
          <w:lang w:val="en-US"/>
        </w:rPr>
        <w:t xml:space="preserve">4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]</w:t>
      </w:r>
    </w:p>
    <w:p>
      <w:pPr>
        <w:pageBreakBefore w:val="false"/>
        <w:spacing w:before="321" w:after="0" w:line="325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-2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2"/>
          <w:w w:val="100"/>
          <w:sz w:val="28"/>
          <w:vertAlign w:val="baseline"/>
          <w:lang w:val="en-US"/>
        </w:rPr>
        <w:t xml:space="preserve">FACILITY means a correctional facility or local correctional facility, hospital</w:t>
      </w:r>
      <w:r>
        <w:rPr>
          <w:rFonts w:ascii="Arial" w:hAnsi="Arial" w:eastAsia="Arial"/>
          <w:strike w:val="false"/>
          <w:color w:val="000000"/>
          <w:spacing w:val="-2"/>
          <w:w w:val="100"/>
          <w:sz w:val="28"/>
          <w:vertAlign w:val="superscript"/>
          <w:lang w:val="en-US"/>
        </w:rPr>
        <w:t xml:space="preserve">5</w:t>
      </w:r>
      <w:r>
        <w:rPr>
          <w:rFonts w:ascii="Arial" w:hAnsi="Arial" w:eastAsia="Arial"/>
          <w:strike w:val="false"/>
          <w:color w:val="000000"/>
          <w:spacing w:val="-2"/>
          <w:w w:val="100"/>
          <w:sz w:val="28"/>
          <w:vertAlign w:val="baseline"/>
          <w:lang w:val="en-US"/>
        </w:rPr>
        <w:t xml:space="preserve"> or a secure facility operated and maintained by the office of children and family services.</w:t>
      </w:r>
      <w:r>
        <w:rPr>
          <w:rFonts w:ascii="Arial" w:hAnsi="Arial" w:eastAsia="Arial"/>
          <w:strike w:val="false"/>
          <w:color w:val="000000"/>
          <w:spacing w:val="-2"/>
          <w:w w:val="100"/>
          <w:sz w:val="28"/>
          <w:vertAlign w:val="superscript"/>
          <w:lang w:val="en-US"/>
        </w:rPr>
        <w:t xml:space="preserve">6</w:t>
      </w:r>
      <w:r>
        <w:rPr>
          <w:rFonts w:ascii="Arial" w:hAnsi="Arial" w:eastAsia="Arial"/>
          <w:strike w:val="false"/>
          <w:color w:val="000000"/>
          <w:spacing w:val="-2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spacing w:before="329" w:after="0" w:line="325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-4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4"/>
          <w:w w:val="100"/>
          <w:sz w:val="28"/>
          <w:vertAlign w:val="baseline"/>
          <w:lang w:val="en-US"/>
        </w:rPr>
        <w:t xml:space="preserve">In order for you to find the defendant guilty of this crime, the People are required to prove, from all of the evidence in the case, beyond a reasonable doubt, each of the following four elements:</w:t>
      </w:r>
    </w:p>
    <w:p>
      <w:pPr>
        <w:pageBreakBefore w:val="false"/>
        <w:tabs>
          <w:tab w:val="right" w:leader="none" w:pos="7920"/>
        </w:tabs>
        <w:spacing w:before="324" w:after="0" w:line="325" w:lineRule="exact"/>
        <w:ind w:right="0" w:left="72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1.	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That on or about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 (</w: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date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)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 , in the county of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 (</w: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County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)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 ,</w:t>
      </w:r>
    </w:p>
    <w:p>
      <w:pPr>
        <w:pageBreakBefore w:val="false"/>
        <w:spacing w:before="0" w:after="750" w:line="323" w:lineRule="exact"/>
        <w:ind w:right="0" w:left="144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the defendant,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 (</w: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defendant's name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),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 was an inmate [or respondent];</w:t>
      </w:r>
    </w:p>
    <w:p>
      <w:pPr>
        <w:pageBreakBefore w:val="false"/>
        <w:spacing w:before="252" w:after="0" w:line="277" w:lineRule="exact"/>
        <w:ind w:right="0" w:left="72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4"/>
          <w:vertAlign w:val="superscript"/>
          <w:lang w:val="en-US"/>
        </w:rPr>
      </w:pPr>
      <w:r>
        <w:pict>
          <v:line strokeweight="0.95pt" strokecolor="#000000" from="107.75pt,530.4pt" to="252.05pt,530.4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strike w:val="false"/>
          <w:color w:val="000000"/>
          <w:spacing w:val="0"/>
          <w:w w:val="100"/>
          <w:sz w:val="14"/>
          <w:vertAlign w:val="superscript"/>
          <w:lang w:val="en-US"/>
        </w:rPr>
        <w:t xml:space="preserve">2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 Penal Law § 15.05 (1).</w:t>
      </w:r>
    </w:p>
    <w:p>
      <w:pPr>
        <w:pageBreakBefore w:val="false"/>
        <w:spacing w:before="240" w:after="0" w:line="277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4"/>
          <w:vertAlign w:val="superscript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4"/>
          <w:vertAlign w:val="superscript"/>
          <w:lang w:val="en-US"/>
        </w:rPr>
        <w:t xml:space="preserve">3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 At this point the statute continues: “,as such term is defined in subdivision two of section four hundred of the correction law.” Penal Law § 240.32.</w:t>
      </w:r>
    </w:p>
    <w:p>
      <w:pPr>
        <w:pageBreakBefore w:val="false"/>
        <w:spacing w:before="236" w:after="0" w:line="277" w:lineRule="exact"/>
        <w:ind w:right="0" w:left="72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4"/>
          <w:vertAlign w:val="superscript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4"/>
          <w:vertAlign w:val="superscript"/>
          <w:lang w:val="en-US"/>
        </w:rPr>
        <w:t xml:space="preserve">4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 Penal Law § 240.32.</w:t>
      </w:r>
    </w:p>
    <w:p>
      <w:pPr>
        <w:pageBreakBefore w:val="false"/>
        <w:spacing w:before="240" w:after="0" w:line="277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4"/>
          <w:vertAlign w:val="superscript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4"/>
          <w:vertAlign w:val="superscript"/>
          <w:lang w:val="en-US"/>
        </w:rPr>
        <w:t xml:space="preserve">5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 At this point the statute continues: “,as such term is defined in subdivision two of section four hundred of the correction law.” Penal Law § 240.32.</w:t>
      </w:r>
    </w:p>
    <w:p>
      <w:pPr>
        <w:pageBreakBefore w:val="false"/>
        <w:spacing w:before="236" w:after="0" w:line="277" w:lineRule="exact"/>
        <w:ind w:right="0" w:left="72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14"/>
          <w:vertAlign w:val="superscript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14"/>
          <w:vertAlign w:val="superscript"/>
          <w:lang w:val="en-US"/>
        </w:rPr>
        <w:t xml:space="preserve">6</w:t>
      </w:r>
      <w:r>
        <w:rPr>
          <w:rFonts w:ascii="Arial" w:hAnsi="Arial" w:eastAsia="Arial"/>
          <w:strike w:val="false"/>
          <w:color w:val="000000"/>
          <w:spacing w:val="0"/>
          <w:w w:val="100"/>
          <w:sz w:val="24"/>
          <w:vertAlign w:val="baseline"/>
          <w:lang w:val="en-US"/>
        </w:rPr>
        <w:t xml:space="preserve"> Penal Law § 240.32.</w:t>
      </w:r>
    </w:p>
    <w:p>
      <w:pPr>
        <w:sectPr>
          <w:footerReference w:type="default" r:id="fId0"/>
          <w:type w:val="nextPage"/>
          <w:pgSz w:w="12240" w:h="15840" w:orient="portrait"/>
          <w:pgMar w:bottom="899" w:top="1080" w:right="2145" w:left="2155" w:header="720" w:footer="1117"/>
          <w:titlePg w:val="false"/>
          <w:textDirection w:val="lrTb"/>
        </w:sectPr>
      </w:pPr>
    </w:p>
    <w:p>
      <w:pPr>
        <w:pageBreakBefore w:val="false"/>
        <w:numPr>
          <w:ilvl w:val="0"/>
          <w:numId w:val="1"/>
        </w:numPr>
        <w:tabs>
          <w:tab w:val="clear" w:pos="720"/>
          <w:tab w:val="left" w:pos="1440"/>
        </w:tabs>
        <w:spacing w:before="8" w:after="0" w:line="322" w:lineRule="exact"/>
        <w:ind w:right="0" w:left="72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That on that date,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(</w: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specify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)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 was</w:t>
      </w:r>
    </w:p>
    <w:p>
      <w:pPr>
        <w:pageBreakBefore w:val="false"/>
        <w:spacing w:before="331" w:after="0" w:line="319" w:lineRule="exact"/>
        <w:ind w:right="0" w:left="720" w:firstLine="0"/>
        <w:jc w:val="left"/>
        <w:textAlignment w:val="baseline"/>
        <w:rPr>
          <w:rFonts w:ascii="Arial" w:hAnsi="Arial" w:eastAsia="Arial"/>
          <w:i w:val="true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</w:pP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Select appropriate alternative: </w:t>
      </w:r>
    </w:p>
    <w:p>
      <w:pPr>
        <w:pageBreakBefore w:val="false"/>
        <w:spacing w:before="324" w:after="0" w:line="315" w:lineRule="exact"/>
        <w:ind w:right="0" w:left="72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an employee of</w:t>
      </w:r>
    </w:p>
    <w:p>
      <w:pPr>
        <w:pageBreakBefore w:val="false"/>
        <w:spacing w:before="333" w:after="0" w:line="315" w:lineRule="exact"/>
        <w:ind w:right="0" w:left="144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a facility or</w:t>
      </w:r>
    </w:p>
    <w:p>
      <w:pPr>
        <w:pageBreakBefore w:val="false"/>
        <w:spacing w:before="7" w:after="0" w:line="315" w:lineRule="exact"/>
        <w:ind w:right="0" w:left="144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the board of parole or</w:t>
      </w:r>
    </w:p>
    <w:p>
      <w:pPr>
        <w:pageBreakBefore w:val="false"/>
        <w:spacing w:before="11" w:after="0" w:line="315" w:lineRule="exact"/>
        <w:ind w:right="0" w:left="144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the office of mental health, or</w:t>
      </w:r>
    </w:p>
    <w:p>
      <w:pPr>
        <w:pageBreakBefore w:val="false"/>
        <w:spacing w:before="12" w:after="0" w:line="315" w:lineRule="exact"/>
        <w:ind w:right="0" w:left="0" w:firstLine="0"/>
        <w:jc w:val="center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a probation department, bureau or unit</w:t>
      </w:r>
    </w:p>
    <w:p>
      <w:pPr>
        <w:pageBreakBefore w:val="false"/>
        <w:spacing w:before="333" w:after="0" w:line="315" w:lineRule="exact"/>
        <w:ind w:right="0" w:left="720" w:firstLine="0"/>
        <w:jc w:val="left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a police officer; and</w:t>
      </w:r>
    </w:p>
    <w:p>
      <w:pPr>
        <w:pageBreakBefore w:val="false"/>
        <w:spacing w:before="331" w:after="0" w:line="321" w:lineRule="exact"/>
        <w:ind w:right="0" w:left="72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the defendant knew or reasonably should have known that </w: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(specify)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 was such an employee [or police officer];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1080"/>
        </w:tabs>
        <w:spacing w:before="319" w:after="0" w:line="325" w:lineRule="exact"/>
        <w:ind w:right="0" w:left="72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-2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-2"/>
          <w:w w:val="100"/>
          <w:sz w:val="28"/>
          <w:vertAlign w:val="baseline"/>
          <w:lang w:val="en-US"/>
        </w:rPr>
        <w:t xml:space="preserve">That on that date, the defendant caused or attempted to cause </w:t>
      </w:r>
      <w:r>
        <w:rPr>
          <w:rFonts w:ascii="Arial" w:hAnsi="Arial" w:eastAsia="Arial"/>
          <w:strike w:val="false"/>
          <w:color w:val="000000"/>
          <w:spacing w:val="-2"/>
          <w:w w:val="100"/>
          <w:sz w:val="28"/>
          <w:u w:val="single"/>
          <w:vertAlign w:val="baseline"/>
          <w:lang w:val="en-US"/>
        </w:rPr>
        <w:t xml:space="preserve">(</w:t>
      </w:r>
      <w:r>
        <w:rPr>
          <w:rFonts w:ascii="Arial" w:hAnsi="Arial" w:eastAsia="Arial"/>
          <w:i w:val="true"/>
          <w:strike w:val="false"/>
          <w:color w:val="000000"/>
          <w:spacing w:val="-2"/>
          <w:w w:val="100"/>
          <w:sz w:val="28"/>
          <w:u w:val="single"/>
          <w:vertAlign w:val="baseline"/>
          <w:lang w:val="en-US"/>
        </w:rPr>
        <w:t xml:space="preserve">specify</w:t>
      </w:r>
      <w:r>
        <w:rPr>
          <w:rFonts w:ascii="Arial" w:hAnsi="Arial" w:eastAsia="Arial"/>
          <w:strike w:val="false"/>
          <w:color w:val="000000"/>
          <w:spacing w:val="-2"/>
          <w:w w:val="100"/>
          <w:sz w:val="28"/>
          <w:u w:val="single"/>
          <w:vertAlign w:val="baseline"/>
          <w:lang w:val="en-US"/>
        </w:rPr>
        <w:t xml:space="preserve">)</w:t>
      </w:r>
      <w:r>
        <w:rPr>
          <w:rFonts w:ascii="Arial" w:hAnsi="Arial" w:eastAsia="Arial"/>
          <w:strike w:val="false"/>
          <w:color w:val="000000"/>
          <w:spacing w:val="-2"/>
          <w:w w:val="100"/>
          <w:sz w:val="28"/>
          <w:vertAlign w:val="baseline"/>
          <w:lang w:val="en-US"/>
        </w:rPr>
        <w:t xml:space="preserve"> to come into contact with blood, seminal fluid, urine, feces, or the contents of a toilet bowl, by throwing, tossing or expelling such fluid or material; and</w:t>
      </w:r>
    </w:p>
    <w:p>
      <w:pPr>
        <w:pageBreakBefore w:val="false"/>
        <w:numPr>
          <w:ilvl w:val="0"/>
          <w:numId w:val="2"/>
        </w:numPr>
        <w:tabs>
          <w:tab w:val="clear" w:pos="360"/>
          <w:tab w:val="left" w:pos="1080"/>
        </w:tabs>
        <w:spacing w:before="334" w:after="0" w:line="321" w:lineRule="exact"/>
        <w:ind w:right="0" w:left="720" w:firstLine="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That the defendant did so with intent to harass, annoy, threaten or alarm 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(</w:t>
      </w:r>
      <w:r>
        <w:rPr>
          <w:rFonts w:ascii="Arial" w:hAnsi="Arial" w:eastAsia="Arial"/>
          <w:i w:val="true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specify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)</w:t>
      </w: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 in the facility.</w:t>
      </w:r>
    </w:p>
    <w:p>
      <w:pPr>
        <w:pageBreakBefore w:val="false"/>
        <w:spacing w:before="317" w:after="0" w:line="324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If you find the People have proven beyond a reasonable doubt each of those elements, you must find the defendant guilty of this crime.</w:t>
      </w:r>
    </w:p>
    <w:p>
      <w:pPr>
        <w:pageBreakBefore w:val="false"/>
        <w:spacing w:before="324" w:after="0" w:line="324" w:lineRule="exact"/>
        <w:ind w:right="0" w:left="0" w:firstLine="720"/>
        <w:jc w:val="both"/>
        <w:textAlignment w:val="baseline"/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strike w:val="false"/>
          <w:color w:val="000000"/>
          <w:spacing w:val="0"/>
          <w:w w:val="100"/>
          <w:sz w:val="28"/>
          <w:vertAlign w:val="baseline"/>
          <w:lang w:val="en-US"/>
        </w:rPr>
        <w:t xml:space="preserve">If you find the People have not proven beyond a reasonable doubt any one or more of those elements, you must find the defendant not guilty of this crime.</w:t>
      </w:r>
    </w:p>
    <w:sectPr>
      <w:type w:val="nextPage"/>
      <w:pgSz w:w="12240" w:h="15840" w:orient="portrait"/>
      <w:pgMar w:bottom="908" w:top="1080" w:right="2142" w:left="2158" w:header="720" w:footer="1113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fId0.xml><?xml version="1.0" encoding="utf-8"?>
<w:ftr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p>
    <w:pPr>
      <w:pageBreakBefore w:val="false"/>
      <w:tabs>
        <w:tab w:val="left" w:leader="none" w:pos="3840"/>
      </w:tabs>
      <w:spacing w:before="0" w:after="0" w:line="229" w:lineRule="exact"/>
      <w:ind w:right="0" w:left="0"/>
      <w:jc w:val="left"/>
      <w:textAlignment w:val="baseline"/>
      <w:rPr>
        <w:rFonts w:ascii="Times New Roman" w:hAnsi="Times New Roman" w:eastAsia="Times New Roman"/>
        <w:strike w:val="false"/>
        <w:color w:val="000000"/>
        <w:w w:val="100"/>
        <w:sz w:val="24"/>
        <w:vertAlign w:val="baseline"/>
        <w:lang w:val="en-US"/>
      </w:rPr>
    </w:pPr>
    <w:r>
      <w:rPr>
        <w:rFonts w:ascii="Times New Roman" w:hAnsi="Times New Roman" w:eastAsia="Times New Roman"/>
        <w:strike w:val="false"/>
        <w:color w:val="000000"/>
        <w:w w:val="100"/>
        <w:sz w:val="24"/>
        <w:vertAlign w:val="baseline"/>
        <w:lang w:val="en-US"/>
      </w:rPr>
      <w:tab/>
    </w:r>
    <w:r>
      <w:rPr>
        <w:rFonts w:ascii="Arial" w:hAnsi="Arial" w:eastAsia="Arial"/>
        <w:strike w:val="false"/>
        <w:color w:val="000000"/>
        <w:spacing w:val="0"/>
        <w:w w:val="100"/>
        <w:sz w:val="20"/>
        <w:vertAlign w:val="baseline"/>
        <w:lang w:val="en-US"/>
      </w:rPr>
      <w:fldChar w:fldCharType="begin"/>
    </w:r>
    <w:r>
      <w:rPr>
        <w:rFonts w:ascii="Arial" w:hAnsi="Arial" w:eastAsia="Arial"/>
        <w:strike w:val="false"/>
        <w:color w:val="000000"/>
        <w:spacing w:val="0"/>
        <w:w w:val="100"/>
        <w:sz w:val="20"/>
        <w:vertAlign w:val="baseline"/>
        <w:lang w:val="en-US"/>
      </w:rPr>
      <w:instrText xml:space="preserve">PAGE</w:instrText>
    </w:r>
    <w:r>
      <w:rPr>
        <w:rFonts w:ascii="Arial" w:hAnsi="Arial" w:eastAsia="Arial"/>
        <w:strike w:val="false"/>
        <w:color w:val="000000"/>
        <w:spacing w:val="0"/>
        <w:w w:val="100"/>
        <w:sz w:val="20"/>
        <w:vertAlign w:val="baseline"/>
        <w:lang w:val="en-US"/>
      </w:rPr>
      <w:fldChar w:fldCharType="end"/>
    </w:r>
    <w:r>
      <w:rPr>
        <w:rFonts w:ascii="Arial" w:hAnsi="Arial" w:eastAsia="Arial"/>
        <w:strike w:val="false"/>
        <w:color w:val="000000"/>
        <w:spacing w:val="0"/>
        <w:w w:val="100"/>
        <w:sz w:val="20"/>
        <w:vertAlign w:val="baseline"/>
        <w:lang w:val="en-US"/>
      </w:rPr>
      <w:t xml:space="preserve">
</w:t>
    </w:r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2"/>
      <w:numFmt w:val="decimal"/>
      <w:lvlText w:val="%1."/>
      <w:pPr>
        <w:tabs>
          <w:tab w:val="left" w:pos="720"/>
        </w:tabs>
      </w:pPr>
      <w:rPr>
        <w:rFonts w:ascii="Arial" w:hAnsi="Arial" w:eastAsia="Arial"/>
        <w:strike w:val="false"/>
        <w:color w:val="000000"/>
        <w:spacing w:val="0"/>
        <w:w w:val="100"/>
        <w:sz w:val="28"/>
        <w:vertAlign w:val="baseline"/>
        <w:lang w:val="en-US"/>
      </w:rPr>
    </w:lvl>
  </w:abstractNum>
  <w:abstractNum w:abstractNumId="2">
    <w:lvl w:ilvl="0">
      <w:start w:val="1"/>
      <w:numFmt w:val="decimal"/>
      <w:lvlText w:val="%1."/>
      <w:pPr>
        <w:tabs>
          <w:tab w:val="left" w:pos="360"/>
        </w:tabs>
      </w:pPr>
      <w:rPr>
        <w:rFonts w:ascii="Arial" w:hAnsi="Arial" w:eastAsia="Arial"/>
        <w:strike w:val="false"/>
        <w:color w:val="000000"/>
        <w:spacing w:val="-2"/>
        <w:w w:val="100"/>
        <w:sz w:val="28"/>
        <w:vertAlign w:val="baseline"/>
        <w:lang w:val="en-U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evenAndOddHeaders w:val="false"/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fId0" Type="http://schemas.openxmlformats.org/officeDocument/2006/relationships/footer" Target="footerfId0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