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AGGRAVATED HARASSMENT IN THE FIRST DEGREE</w:t>
        <w:br/>
      </w:r>
      <w:r>
        <w:rPr>
          <w:rFonts w:ascii="Arial" w:hAnsi="Arial" w:eastAsia="Arial"/>
          <w:b w:val="true"/>
          <w:strike w:val="false"/>
          <w:color w:val="000000"/>
          <w:spacing w:val="0"/>
          <w:w w:val="100"/>
          <w:sz w:val="28"/>
          <w:vertAlign w:val="baseline"/>
          <w:lang w:val="en-US"/>
        </w:rPr>
        <w:t xml:space="preserve">(Noose)</w:t>
        <w:br/>
      </w:r>
      <w:r>
        <w:rPr>
          <w:rFonts w:ascii="Arial" w:hAnsi="Arial" w:eastAsia="Arial"/>
          <w:b w:val="true"/>
          <w:strike w:val="false"/>
          <w:color w:val="000000"/>
          <w:spacing w:val="0"/>
          <w:w w:val="100"/>
          <w:sz w:val="28"/>
          <w:vertAlign w:val="baseline"/>
          <w:lang w:val="en-US"/>
        </w:rPr>
        <w:t xml:space="preserve">Penal Law § 240.31 (5)</w:t>
        <w:br/>
      </w:r>
      <w:r>
        <w:rPr>
          <w:rFonts w:ascii="Arial" w:hAnsi="Arial" w:eastAsia="Arial"/>
          <w:b w:val="true"/>
          <w:strike w:val="false"/>
          <w:color w:val="000000"/>
          <w:spacing w:val="0"/>
          <w:w w:val="100"/>
          <w:sz w:val="28"/>
          <w:vertAlign w:val="baseline"/>
          <w:lang w:val="en-US"/>
        </w:rPr>
        <w:t xml:space="preserve">(Committed on or after Nov. 1, 2008)</w:t>
      </w:r>
    </w:p>
    <w:p>
      <w:pPr>
        <w:pageBreakBefore w:val="false"/>
        <w:spacing w:before="316"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(specify) count is Aggravated Harassment in the First Degree.</w:t>
      </w:r>
    </w:p>
    <w:p>
      <w:pPr>
        <w:pageBreakBefore w:val="false"/>
        <w:spacing w:before="311"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person is guilty of Aggravated Harassment in the First Degree when, with intent to harass, annoy, threaten or alarm another person, because of a belief or perception regarding such person’s race, color, national origin, ancestry, gender, religion, religious practice, [age of sixty years old or more</w:t>
      </w:r>
      <w:r>
        <w:rPr>
          <w:rFonts w:ascii="Arial" w:hAnsi="Arial" w:eastAsia="Arial"/>
          <w:strike w:val="false"/>
          <w:color w:val="000000"/>
          <w:spacing w:val="-4"/>
          <w:w w:val="100"/>
          <w:sz w:val="28"/>
          <w:vertAlign w:val="superscript"/>
          <w:lang w:val="en-US"/>
        </w:rPr>
        <w:t xml:space="preserve">1</w:t>
      </w:r>
      <w:r>
        <w:rPr>
          <w:rFonts w:ascii="Arial" w:hAnsi="Arial" w:eastAsia="Arial"/>
          <w:strike w:val="false"/>
          <w:color w:val="000000"/>
          <w:spacing w:val="-4"/>
          <w:w w:val="100"/>
          <w:sz w:val="28"/>
          <w:vertAlign w:val="baseline"/>
          <w:lang w:val="en-US"/>
        </w:rPr>
        <w:t xml:space="preserve">], disability or sexual orientation, regardless of whether the belief or perception is correct, he or she etches, paints, draws upon or otherwise places or displays a noose, commonly exhibited as a symbol of racism and intimidation, on any building or other real property, public or private, owned by any person, firm or corporation or any public agency or instrumentality, without express permission of the owner or operator of such building or real property.</w:t>
      </w:r>
    </w:p>
    <w:p>
      <w:pPr>
        <w:pageBreakBefore w:val="false"/>
        <w:spacing w:before="324"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(has/have) a special meaning:</w:t>
      </w:r>
    </w:p>
    <w:p>
      <w:pPr>
        <w:pageBreakBefore w:val="false"/>
        <w:spacing w:before="323"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28"/>
          <w:vertAlign w:val="baseline"/>
          <w:lang w:val="en-US"/>
        </w:rPr>
        <w:t xml:space="preserve"> Thus, a person acts with intent to harass, annoy, threaten or alarm another person when his or her conscious objective or purpose is to do so.</w:t>
      </w:r>
    </w:p>
    <w:p>
      <w:pPr>
        <w:pageBreakBefore w:val="false"/>
        <w:spacing w:before="318" w:after="1273" w:line="325"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[DISABILITY means a physical or mental impairment that</w:t>
      </w:r>
    </w:p>
    <w:p>
      <w:pPr>
        <w:pageBreakBefore w:val="false"/>
        <w:spacing w:before="261" w:after="0" w:line="276" w:lineRule="exact"/>
        <w:ind w:right="216" w:left="0" w:firstLine="216"/>
        <w:jc w:val="left"/>
        <w:textAlignment w:val="baseline"/>
        <w:rPr>
          <w:rFonts w:ascii="Arial" w:hAnsi="Arial" w:eastAsia="Arial"/>
          <w:strike w:val="false"/>
          <w:color w:val="000000"/>
          <w:spacing w:val="0"/>
          <w:w w:val="100"/>
          <w:sz w:val="14"/>
          <w:vertAlign w:val="superscript"/>
          <w:lang w:val="en-US"/>
        </w:rPr>
      </w:pPr>
      <w:r>
        <w:pict>
          <v:line strokeweight="0.95pt" strokecolor="#000000" from="108pt,640.55pt" to="252.05pt,640.5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240.00 (5) which defines age to be sixty (60) years old or more. Accordingly, include material in brackets only in a case involving age.</w:t>
      </w:r>
    </w:p>
    <w:p>
      <w:pPr>
        <w:pageBreakBefore w:val="false"/>
        <w:spacing w:before="236" w:after="0" w:line="276" w:lineRule="exact"/>
        <w:ind w:right="0" w:left="216"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Penal Law §15.05 (1).</w:t>
      </w:r>
    </w:p>
    <w:p>
      <w:pPr>
        <w:sectPr>
          <w:type w:val="nextPage"/>
          <w:pgSz w:w="12240" w:h="15840" w:orient="portrait"/>
          <w:pgMar w:bottom="1004" w:top="1440" w:right="2140" w:left="2160" w:header="720" w:footer="720"/>
          <w:titlePg w:val="false"/>
          <w:textDirection w:val="lrTb"/>
        </w:sectPr>
      </w:pPr>
    </w:p>
    <w:p>
      <w:pPr>
        <w:pageBreakBefore w:val="false"/>
        <w:spacing w:before="45" w:after="0" w:line="317" w:lineRule="exact"/>
        <w:ind w:right="0" w:left="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substantially limits a major life activity.</w:t>
      </w:r>
      <w:r>
        <w:rPr>
          <w:rFonts w:ascii="Arial" w:hAnsi="Arial" w:eastAsia="Arial"/>
          <w:strike w:val="false"/>
          <w:color w:val="000000"/>
          <w:spacing w:val="-1"/>
          <w:w w:val="100"/>
          <w:sz w:val="28"/>
          <w:vertAlign w:val="superscript"/>
          <w:lang w:val="en-US"/>
        </w:rPr>
        <w:t xml:space="preserve">3</w:t>
      </w:r>
      <w:r>
        <w:rPr>
          <w:rFonts w:ascii="Arial" w:hAnsi="Arial" w:eastAsia="Arial"/>
          <w:strike w:val="false"/>
          <w:color w:val="000000"/>
          <w:spacing w:val="-1"/>
          <w:w w:val="100"/>
          <w:sz w:val="28"/>
          <w:vertAlign w:val="baseline"/>
          <w:lang w:val="en-US"/>
        </w:rPr>
        <w:t xml:space="preserve">]</w:t>
      </w:r>
    </w:p>
    <w:p>
      <w:pPr>
        <w:pageBreakBefore w:val="false"/>
        <w:spacing w:before="332"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22"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vertAlign w:val="baseline"/>
          <w:lang w:val="en-US"/>
        </w:rPr>
        <w:t xml:space="preserve"> etched, painted, drew upon or otherwise placed or displayed a noose, commonly exhibited as a symbol of racism and intimidation, on a building [or other real property], public or private, owned by any person, firm or corporation or any other public agency or instrumentality; and</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without express permission of the owner or operator of such building [or real property]; and</w:t>
      </w:r>
    </w:p>
    <w:p>
      <w:pPr>
        <w:pageBreakBefore w:val="false"/>
        <w:numPr>
          <w:ilvl w:val="0"/>
          <w:numId w:val="1"/>
        </w:numPr>
        <w:tabs>
          <w:tab w:val="clear" w:pos="720"/>
          <w:tab w:val="left" w:pos="1440"/>
        </w:tabs>
        <w:spacing w:before="321"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the intent to harass, annoy, threaten or alarm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 person)</w:t>
      </w:r>
      <w:r>
        <w:rPr>
          <w:rFonts w:ascii="Arial" w:hAnsi="Arial" w:eastAsia="Arial"/>
          <w:strike w:val="false"/>
          <w:color w:val="000000"/>
          <w:spacing w:val="0"/>
          <w:w w:val="100"/>
          <w:sz w:val="28"/>
          <w:vertAlign w:val="baseline"/>
          <w:lang w:val="en-US"/>
        </w:rPr>
        <w:t xml:space="preserve"> because of a belief or perception regarding 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 appropriate attribute[s]</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of </w:t>
      </w:r>
      <w:r>
        <w:rPr>
          <w:rFonts w:ascii="Arial" w:hAnsi="Arial" w:eastAsia="Arial"/>
          <w:i w:val="true"/>
          <w:strike w:val="false"/>
          <w:color w:val="000000"/>
          <w:spacing w:val="0"/>
          <w:w w:val="100"/>
          <w:sz w:val="28"/>
          <w:u w:val="single"/>
          <w:vertAlign w:val="baseline"/>
          <w:lang w:val="en-US"/>
        </w:rPr>
        <w:t xml:space="preserve">(repeat name of above  specified person),</w:t>
      </w:r>
      <w:r>
        <w:rPr>
          <w:rFonts w:ascii="Arial" w:hAnsi="Arial" w:eastAsia="Arial"/>
          <w:strike w:val="false"/>
          <w:color w:val="000000"/>
          <w:spacing w:val="0"/>
          <w:w w:val="100"/>
          <w:sz w:val="28"/>
          <w:vertAlign w:val="baseline"/>
          <w:lang w:val="en-US"/>
        </w:rPr>
        <w:t xml:space="preserve"> regardless of whether the belief or perception was correct.</w:t>
      </w:r>
    </w:p>
    <w:p>
      <w:pPr>
        <w:pageBreakBefore w:val="false"/>
        <w:spacing w:before="333"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9" w:after="1196"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56" w:after="247" w:line="276" w:lineRule="exact"/>
        <w:ind w:right="0" w:left="288"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8pt,667.9pt" to="252.05pt,667.9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Penal Law § 240.00 (6).</w:t>
      </w:r>
    </w:p>
    <w:p>
      <w:pPr>
        <w:pageBreakBefore w:val="false"/>
        <w:spacing w:before="0" w:after="0" w:line="265"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sectPr>
      <w:type w:val="nextPage"/>
      <w:pgSz w:w="12240" w:h="15840" w:orient="portrait"/>
      <w:pgMar w:bottom="1024" w:top="140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