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DISSEMINATING INDECENT MATERIAL TO MINORS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235.21(2)(c)</w:t>
        <w:br/>
      </w:r>
      <w:r>
        <w:rPr>
          <w:rFonts w:ascii="Arial" w:hAnsi="Arial" w:eastAsia="Arial"/>
          <w:b w:val="true"/>
          <w:strike w:val="false"/>
          <w:color w:val="000000"/>
          <w:spacing w:val="0"/>
          <w:w w:val="100"/>
          <w:sz w:val="28"/>
          <w:vertAlign w:val="baseline"/>
          <w:lang w:val="en-US"/>
        </w:rPr>
        <w:t xml:space="preserve">(Committed on or after Nov. 1, 1996)</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Disseminating Indecent Material to Minors in the Second Degree.</w:t>
      </w:r>
    </w:p>
    <w:p>
      <w:pPr>
        <w:pageBreakBefore w:val="false"/>
        <w:spacing w:before="321"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Disseminating Indecent Material to Minors in the Second Degree when, knowing the character and content of a motion picture, show or other presentation which, in whole or in part, depicts nudity, sexual conduct or sado-masochistic abuse, and which is harmful to minors, he or she admits a minor for a monetary consideration to premises whereon there is exhibited or to be exhibited such motion picture, show or other presentation.</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MINOR means any person less than seventeen years old.</w:t>
      </w:r>
      <w:r>
        <w:rPr>
          <w:rFonts w:ascii="Arial" w:hAnsi="Arial" w:eastAsia="Arial"/>
          <w:strike w:val="false"/>
          <w:color w:val="000000"/>
          <w:spacing w:val="-5"/>
          <w:w w:val="100"/>
          <w:sz w:val="28"/>
          <w:vertAlign w:val="superscript"/>
          <w:lang w:val="en-US"/>
        </w:rPr>
        <w:t xml:space="preserve">1</w:t>
      </w:r>
      <w:r>
        <w:rPr>
          <w:rFonts w:ascii="Arial" w:hAnsi="Arial" w:eastAsia="Arial"/>
          <w:strike w:val="false"/>
          <w:color w:val="000000"/>
          <w:spacing w:val="-5"/>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discernably turgid state.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0" w:after="664"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CONDUCT means acts of masturbation, homosexuality, sexual intercourse, or physical contact with a person’s clothed or unclothed genitals, pubic area, buttocks or, if such person be a female, breast.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6"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8pt,642.25pt" to="252.05pt,642.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235.20(1).</w:t>
      </w:r>
    </w:p>
    <w:p>
      <w:pPr>
        <w:pageBreakBefore w:val="false"/>
        <w:spacing w:before="243"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235.20(2).</w:t>
      </w:r>
    </w:p>
    <w:p>
      <w:pPr>
        <w:pageBreakBefore w:val="false"/>
        <w:spacing w:before="242"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235.20(3).</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HARMFUL TO MINORS means that quality of any description or representation, in whatever form, of nudity, sexual conduct, sexual excitement, or sado-masochistic abuse, when it:</w:t>
      </w:r>
    </w:p>
    <w:p>
      <w:pPr>
        <w:pageBreakBefore w:val="false"/>
        <w:numPr>
          <w:ilvl w:val="0"/>
          <w:numId w:val="1"/>
        </w:numPr>
        <w:tabs>
          <w:tab w:val="clear" w:pos="432"/>
          <w:tab w:val="left" w:pos="1152"/>
        </w:tabs>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appeals to the prurient interest in sex of minors; and</w:t>
      </w:r>
    </w:p>
    <w:p>
      <w:pPr>
        <w:pageBreakBefore w:val="false"/>
        <w:numPr>
          <w:ilvl w:val="0"/>
          <w:numId w:val="1"/>
        </w:numPr>
        <w:tabs>
          <w:tab w:val="clear" w:pos="432"/>
          <w:tab w:val="left" w:pos="1152"/>
        </w:tabs>
        <w:spacing w:before="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is patently offensive to prevailing standards in the adult community as a whole with respect to what is suitable material for minors; and</w:t>
      </w:r>
    </w:p>
    <w:p>
      <w:pPr>
        <w:pageBreakBefore w:val="false"/>
        <w:numPr>
          <w:ilvl w:val="0"/>
          <w:numId w:val="1"/>
        </w:numPr>
        <w:tabs>
          <w:tab w:val="clear" w:pos="432"/>
          <w:tab w:val="left" w:pos="1152"/>
        </w:tabs>
        <w:spacing w:before="5"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lacks serious literary, artistic, political and scientific value for minors.</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excitement” as used in this definition means the condition of human male or female genitals when in a state of sexual stimulation or arousal.</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2" w:after="501"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who admits a minor for a monetary consideration to premises whereon there is exhibited (or to be exhibited) a motion picture, [show] or other [presentation] which, in whole or in part, depicts nudity, [sexual conduct] or [sado</w:t>
        <w:softHyphen/>
      </w:r>
      <w:r>
        <w:rPr>
          <w:rFonts w:ascii="Arial" w:hAnsi="Arial" w:eastAsia="Arial"/>
          <w:strike w:val="false"/>
          <w:color w:val="000000"/>
          <w:spacing w:val="-4"/>
          <w:w w:val="100"/>
          <w:sz w:val="28"/>
          <w:vertAlign w:val="baseline"/>
          <w:lang w:val="en-US"/>
        </w:rPr>
        <w:t xml:space="preserve">masochistic abuse] and is harmful to minors, is presumed to do so with knowledge of the character and content of the motion picture, [show] or [presentation exhibited]. </w:t>
      </w:r>
      <w:r>
        <w:rPr>
          <w:rFonts w:ascii="Arial" w:hAnsi="Arial" w:eastAsia="Arial"/>
          <w:strike w:val="false"/>
          <w:color w:val="000000"/>
          <w:spacing w:val="-4"/>
          <w:w w:val="100"/>
          <w:sz w:val="28"/>
          <w:vertAlign w:val="superscript"/>
          <w:lang w:val="en-US"/>
        </w:rPr>
        <w:t xml:space="preserve">7</w:t>
      </w:r>
      <w:r>
        <w:rPr>
          <w:rFonts w:ascii="Arial" w:hAnsi="Arial" w:eastAsia="Arial"/>
          <w:strike w:val="false"/>
          <w:color w:val="000000"/>
          <w:spacing w:val="-4"/>
          <w:w w:val="100"/>
          <w:sz w:val="28"/>
          <w:vertAlign w:val="baseline"/>
          <w:lang w:val="en-US"/>
        </w:rPr>
        <w:t xml:space="preserve"> This means that, if the People have proven beyond a reasonable doubt that the defendant admitted a minor for a monetary consideration to premises whereon there was exhibited (or was to be exhibited) a motion picture, [show] or other [presentation] which, in whole or in part, depicted nudity, [sexual conduct] or [sado-masochistic</w:t>
      </w:r>
    </w:p>
    <w:p>
      <w:pPr>
        <w:pageBreakBefore w:val="false"/>
        <w:spacing w:before="259"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1.2pt" strokecolor="#000000" from="108pt,616.3pt" to="252.05pt,616.3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235.20(5).</w:t>
      </w:r>
    </w:p>
    <w:p>
      <w:pPr>
        <w:pageBreakBefore w:val="false"/>
        <w:spacing w:before="242"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235.20(6).</w:t>
      </w:r>
    </w:p>
    <w:p>
      <w:pPr>
        <w:pageBreakBefore w:val="false"/>
        <w:spacing w:before="242"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235.20(4).</w:t>
      </w:r>
    </w:p>
    <w:p>
      <w:pPr>
        <w:pageBreakBefore w:val="false"/>
        <w:spacing w:before="243"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See Penal Law § 235.23(1).</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abuse] that was harmful to minors, you may, but you are not required to, presume from that fact that the defendant did so with knowledge of the character and content of the motion picture, [show] or [presentation] exhibited.</w:t>
      </w:r>
    </w:p>
    <w:p>
      <w:pPr>
        <w:pageBreakBefore w:val="false"/>
        <w:spacing w:before="32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Add where the affirmative defense to this crime is not raised:</w:t>
      </w:r>
    </w:p>
    <w:p>
      <w:pPr>
        <w:pageBreakBefore w:val="false"/>
        <w:spacing w:before="342"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an element of this crime, and thus the People are not required to prove beyond a reasonable doubt, that the defendant knew the person was less than seventeen years of age.</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w:t>
      </w:r>
    </w:p>
    <w:p>
      <w:pPr>
        <w:pageBreakBefore w:val="false"/>
        <w:spacing w:before="64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2"/>
        </w:numPr>
        <w:tabs>
          <w:tab w:val="clear" w:pos="360"/>
          <w:tab w:val="left" w:pos="1080"/>
        </w:tabs>
        <w:spacing w:before="33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vertAlign w:val="baseline"/>
          <w:lang w:val="en-US"/>
        </w:rPr>
        <w:t xml:space="preserve"> in the county of</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vertAlign w:val="baseline"/>
          <w:lang w:val="en-US"/>
        </w:rPr>
        <w:t xml:space="preserve"> for a monetary consideration, admitted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premises and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minor;</w:t>
      </w:r>
    </w:p>
    <w:p>
      <w:pPr>
        <w:pageBreakBefore w:val="false"/>
        <w:numPr>
          <w:ilvl w:val="0"/>
          <w:numId w:val="2"/>
        </w:numPr>
        <w:tabs>
          <w:tab w:val="clear" w:pos="360"/>
          <w:tab w:val="left" w:pos="1080"/>
        </w:tabs>
        <w:spacing w:before="32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those premises there was exhibited or was to be exhibited</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Select as appropriate</w:t>
      </w:r>
      <w:r>
        <w:rPr>
          <w:rFonts w:ascii="Arial" w:hAnsi="Arial" w:eastAsia="Arial"/>
          <w:strike w:val="false"/>
          <w:color w:val="000000"/>
          <w:spacing w:val="0"/>
          <w:w w:val="100"/>
          <w:sz w:val="28"/>
          <w:vertAlign w:val="baseline"/>
          <w:lang w:val="en-US"/>
        </w:rPr>
        <w:t xml:space="preserve">: a motion picture, show or other presentation] which, in whole or in part, depicted nudity, sexual conduct or sado-masochistic abuse;</w:t>
      </w:r>
    </w:p>
    <w:p>
      <w:pPr>
        <w:pageBreakBefore w:val="false"/>
        <w:numPr>
          <w:ilvl w:val="0"/>
          <w:numId w:val="2"/>
        </w:numPr>
        <w:tabs>
          <w:tab w:val="clear" w:pos="360"/>
          <w:tab w:val="left" w:pos="1080"/>
        </w:tabs>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the character and content of that material being exhibited [or to be exhibited]; and</w:t>
      </w:r>
    </w:p>
    <w:p>
      <w:pPr>
        <w:pageBreakBefore w:val="false"/>
        <w:numPr>
          <w:ilvl w:val="0"/>
          <w:numId w:val="2"/>
        </w:numPr>
        <w:tabs>
          <w:tab w:val="clear" w:pos="360"/>
          <w:tab w:val="left" w:pos="1080"/>
        </w:tabs>
        <w:spacing w:before="333" w:after="1721"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material was harmful to minors.</w:t>
      </w:r>
    </w:p>
    <w:p>
      <w:pPr>
        <w:pageBreakBefore w:val="false"/>
        <w:spacing w:before="256"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8pt,693.85pt" to="252.05pt,693.8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See Penal Law § 15.05(3).</w:t>
      </w:r>
    </w:p>
    <w:p>
      <w:pPr>
        <w:sectPr>
          <w:type w:val="nextPage"/>
          <w:pgSz w:w="12240" w:h="15840" w:orient="portrait"/>
          <w:pgMar w:bottom="1004" w:top="1440" w:right="2140" w:left="2160"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0"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apply:</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any one or more of those elements, you must find the defendant not guilty of the crime of Disseminating Indecent Material to Minors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each of those elements, you must consider an affirmative defense the defendant has raised. Remember, if you have already found the defendant not guilty of the crime of Disseminating Indecent Material to Minors in the Second Degree, you will not consider the affirmative defense.</w:t>
      </w:r>
    </w:p>
    <w:p>
      <w:pPr>
        <w:pageBreakBefore w:val="false"/>
        <w:spacing w:before="319" w:after="0" w:line="324" w:lineRule="exact"/>
        <w:ind w:right="0" w:left="0" w:firstLine="144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People are not required to prove beyond a reasonable doubt, that the defendant knew the person was less than seventeen years of age. It is, however, an affirmative defense to this charge of Disseminating Indecent Material to Minors in the Second Degree that:</w:t>
      </w:r>
    </w:p>
    <w:p>
      <w:pPr>
        <w:pageBreakBefore w:val="false"/>
        <w:numPr>
          <w:ilvl w:val="0"/>
          <w:numId w:val="1"/>
        </w:numPr>
        <w:tabs>
          <w:tab w:val="clear" w:pos="432"/>
          <w:tab w:val="left" w:pos="1872"/>
        </w:tabs>
        <w:spacing w:before="329"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had reasonable cause to believe that the minor involved was seventeen years old or more; and</w:t>
      </w:r>
    </w:p>
    <w:p>
      <w:pPr>
        <w:pageBreakBefore w:val="false"/>
        <w:numPr>
          <w:ilvl w:val="0"/>
          <w:numId w:val="1"/>
        </w:numPr>
        <w:tabs>
          <w:tab w:val="clear" w:pos="432"/>
          <w:tab w:val="left" w:pos="1872"/>
        </w:tabs>
        <w:spacing w:before="324"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such minor exhibited to the defendant a draft card, driver’s license, birth certificate or other official or apparently official document purporting to establish that</w:t>
      </w:r>
    </w:p>
    <w:p>
      <w:pPr>
        <w:sectPr>
          <w:type w:val="nextPage"/>
          <w:pgSz w:w="12240" w:h="15840" w:orient="portrait"/>
          <w:pgMar w:bottom="2004" w:top="1440" w:right="2140" w:left="2160" w:header="720" w:footer="720"/>
          <w:titlePg w:val="false"/>
          <w:textDirection w:val="lrTb"/>
        </w:sectPr>
      </w:pPr>
    </w:p>
    <w:p>
      <w:pPr>
        <w:pageBreakBefore w:val="false"/>
        <w:spacing w:before="38" w:after="326" w:line="324" w:lineRule="exact"/>
        <w:ind w:right="0" w:left="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such minor was seventeen years old or more.</w:t>
      </w:r>
      <w:r>
        <w:rPr>
          <w:rFonts w:ascii="Arial" w:hAnsi="Arial" w:eastAsia="Arial"/>
          <w:strike w:val="false"/>
          <w:color w:val="000000"/>
          <w:spacing w:val="-4"/>
          <w:w w:val="100"/>
          <w:sz w:val="28"/>
          <w:vertAlign w:val="superscript"/>
          <w:lang w:val="en-US"/>
        </w:rPr>
        <w:t xml:space="preserve">9</w:t>
      </w:r>
      <w:r>
        <w:rPr>
          <w:rFonts w:ascii="Arial" w:hAnsi="Arial" w:eastAsia="Arial"/>
          <w:strike w:val="false"/>
          <w:color w:val="000000"/>
          <w:spacing w:val="-4"/>
          <w:w w:val="100"/>
          <w:sz w:val="17"/>
          <w:vertAlign w:val="baseline"/>
          <w:lang w:val="en-US"/>
        </w:rPr>
        <w:t xml:space="preserve">
</w:t>
      </w:r>
    </w:p>
    <w:p>
      <w:pPr>
        <w:spacing w:before="38" w:after="326" w:line="324" w:lineRule="exact"/>
        <w:sectPr>
          <w:type w:val="nextPage"/>
          <w:pgSz w:w="12240" w:h="15840" w:orient="portrait"/>
          <w:pgMar w:bottom="1004" w:top="1400" w:right="3595" w:left="2885" w:header="720" w:footer="720"/>
          <w:titlePg w:val="false"/>
          <w:textDirection w:val="lrTb"/>
        </w:sectPr>
      </w:pPr>
    </w:p>
    <w:p>
      <w:pPr>
        <w:pageBreakBefore w:val="false"/>
        <w:spacing w:before="0"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each of the elements of Disseminating Indecent Material to Minors in the Second Degree, you must find the defendant guilty of that crime.</w:t>
      </w:r>
    </w:p>
    <w:p>
      <w:pPr>
        <w:pageBreakBefore w:val="false"/>
        <w:spacing w:before="321" w:after="302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Disseminating Indecent Material to Minors in the Second Degree.]</w:t>
      </w:r>
    </w:p>
    <w:p>
      <w:pPr>
        <w:spacing w:before="321" w:after="3029" w:line="324" w:lineRule="exact"/>
        <w:sectPr>
          <w:type w:val="continuous"/>
          <w:pgSz w:w="12240" w:h="15840" w:orient="portrait"/>
          <w:pgMar w:bottom="1004" w:top="1400" w:right="2140" w:left="2160" w:header="720" w:footer="720"/>
          <w:titlePg w:val="false"/>
          <w:textDirection w:val="lrTb"/>
        </w:sectPr>
      </w:pPr>
    </w:p>
    <w:p>
      <w:pPr>
        <w:pageBreakBefore w:val="false"/>
        <w:spacing w:before="258" w:after="0" w:line="276" w:lineRule="exact"/>
        <w:ind w:right="0" w:left="0" w:firstLine="0"/>
        <w:jc w:val="left"/>
        <w:textAlignment w:val="baseline"/>
        <w:rPr>
          <w:rFonts w:ascii="Times New Roman" w:hAnsi="Times New Roman" w:eastAsia="Times New Roman"/>
          <w:strike w:val="false"/>
          <w:color w:val="000000"/>
          <w:spacing w:val="-4"/>
          <w:w w:val="100"/>
          <w:sz w:val="14"/>
          <w:vertAlign w:val="superscript"/>
          <w:lang w:val="en-US"/>
        </w:rPr>
      </w:pPr>
      <w:r>
        <w:pict>
          <v:line strokeweight="1.2pt" strokecolor="#000000" from="108pt,694.1pt" to="252.05pt,694.1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14"/>
          <w:vertAlign w:val="superscript"/>
          <w:lang w:val="en-US"/>
        </w:rPr>
        <w:t xml:space="preserve">9</w:t>
      </w:r>
      <w:r>
        <w:rPr>
          <w:rFonts w:ascii="Arial" w:hAnsi="Arial" w:eastAsia="Arial"/>
          <w:strike w:val="false"/>
          <w:color w:val="000000"/>
          <w:spacing w:val="-4"/>
          <w:w w:val="100"/>
          <w:sz w:val="24"/>
          <w:vertAlign w:val="baseline"/>
          <w:lang w:val="en-US"/>
        </w:rPr>
        <w:t xml:space="preserve"> See Penal Law § 235.23(2).</w:t>
      </w:r>
    </w:p>
    <w:p>
      <w:pPr>
        <w:sectPr>
          <w:type w:val="continuous"/>
          <w:pgSz w:w="12240" w:h="15840" w:orient="portrait"/>
          <w:pgMar w:bottom="1004" w:top="1400" w:right="6960" w:left="2160" w:header="720" w:footer="720"/>
          <w:titlePg w:val="false"/>
          <w:textDirection w:val="lrTb"/>
        </w:sectPr>
      </w:pPr>
    </w:p>
    <w:p/>
    <w:sectPr>
      <w:type w:val="nextPage"/>
      <w:pgSz w:w="12240" w:h="15840" w:orient="portrait"/>
      <w:pgMar w:bottom="1044" w:top="1152" w:right="1800" w:left="18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