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fId0.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DISSEMINATING INDECENT MATERIAL TO MINORS</w:t>
        <w:br/>
      </w:r>
      <w:r>
        <w:rPr>
          <w:rFonts w:ascii="Arial" w:hAnsi="Arial" w:eastAsia="Arial"/>
          <w:b w:val="true"/>
          <w:strike w:val="false"/>
          <w:color w:val="000000"/>
          <w:spacing w:val="0"/>
          <w:w w:val="100"/>
          <w:sz w:val="28"/>
          <w:vertAlign w:val="baseline"/>
          <w:lang w:val="en-US"/>
        </w:rPr>
        <w:t xml:space="preserve">IN THE SECOND DEGREE</w:t>
        <w:br/>
      </w:r>
      <w:r>
        <w:rPr>
          <w:rFonts w:ascii="Arial" w:hAnsi="Arial" w:eastAsia="Arial"/>
          <w:b w:val="true"/>
          <w:strike w:val="false"/>
          <w:color w:val="000000"/>
          <w:spacing w:val="0"/>
          <w:w w:val="100"/>
          <w:sz w:val="28"/>
          <w:vertAlign w:val="baseline"/>
          <w:lang w:val="en-US"/>
        </w:rPr>
        <w:t xml:space="preserve">Penal Law § 235.21(2)(b)</w:t>
        <w:br/>
      </w:r>
      <w:r>
        <w:rPr>
          <w:rFonts w:ascii="Arial" w:hAnsi="Arial" w:eastAsia="Arial"/>
          <w:b w:val="true"/>
          <w:strike w:val="false"/>
          <w:color w:val="000000"/>
          <w:spacing w:val="0"/>
          <w:w w:val="100"/>
          <w:sz w:val="28"/>
          <w:vertAlign w:val="baseline"/>
          <w:lang w:val="en-US"/>
        </w:rPr>
        <w:t xml:space="preserve">(Committed on or after Nov. 1, 1996)</w:t>
      </w:r>
    </w:p>
    <w:p>
      <w:pPr>
        <w:pageBreakBefore w:val="false"/>
        <w:spacing w:before="328"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Disseminating Indecent Material to Minors in the Second Degree.</w:t>
      </w:r>
    </w:p>
    <w:p>
      <w:pPr>
        <w:pageBreakBefore w:val="false"/>
        <w:spacing w:before="321" w:after="0" w:line="324" w:lineRule="exact"/>
        <w:ind w:right="0" w:left="0" w:firstLine="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Under our law, a person is guilty of Disseminating Indecent Material to Minors in the Second Degree when, knowing the character and content of a motion picture, show or other presentation which, in whole or in part, depicts nudity, sexual conduct or sado-masochistic abuse, and which is harmful to minors, he or she sells to a minor an admission ticket or pass to premises whereon there is exhibited or to be exhibited such motion picture, show or other presentation.</w:t>
      </w:r>
    </w:p>
    <w:p>
      <w:pPr>
        <w:pageBreakBefore w:val="false"/>
        <w:spacing w:before="327"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21" w:after="0" w:line="324" w:lineRule="exact"/>
        <w:ind w:right="0" w:left="720" w:firstLine="0"/>
        <w:jc w:val="both"/>
        <w:textAlignment w:val="baseline"/>
        <w:rPr>
          <w:rFonts w:ascii="Arial" w:hAnsi="Arial" w:eastAsia="Arial"/>
          <w:strike w:val="false"/>
          <w:color w:val="000000"/>
          <w:spacing w:val="-5"/>
          <w:w w:val="100"/>
          <w:sz w:val="28"/>
          <w:vertAlign w:val="baseline"/>
          <w:lang w:val="en-US"/>
        </w:rPr>
      </w:pPr>
      <w:r>
        <w:rPr>
          <w:rFonts w:ascii="Arial" w:hAnsi="Arial" w:eastAsia="Arial"/>
          <w:strike w:val="false"/>
          <w:color w:val="000000"/>
          <w:spacing w:val="-5"/>
          <w:w w:val="100"/>
          <w:sz w:val="28"/>
          <w:vertAlign w:val="baseline"/>
          <w:lang w:val="en-US"/>
        </w:rPr>
        <w:t xml:space="preserve">MINOR means any person less than seventeen years old.</w:t>
      </w:r>
      <w:r>
        <w:rPr>
          <w:rFonts w:ascii="Arial" w:hAnsi="Arial" w:eastAsia="Arial"/>
          <w:strike w:val="false"/>
          <w:color w:val="000000"/>
          <w:spacing w:val="-5"/>
          <w:w w:val="100"/>
          <w:sz w:val="28"/>
          <w:vertAlign w:val="superscript"/>
          <w:lang w:val="en-US"/>
        </w:rPr>
        <w:t xml:space="preserve">1</w:t>
      </w:r>
      <w:r>
        <w:rPr>
          <w:rFonts w:ascii="Arial" w:hAnsi="Arial" w:eastAsia="Arial"/>
          <w:strike w:val="false"/>
          <w:color w:val="000000"/>
          <w:spacing w:val="-5"/>
          <w:w w:val="100"/>
          <w:sz w:val="17"/>
          <w:vertAlign w:val="baseline"/>
          <w:lang w:val="en-US"/>
        </w:rPr>
        <w:t xml:space="preserve">
</w:t>
      </w:r>
    </w:p>
    <w:p>
      <w:pPr>
        <w:pageBreakBefore w:val="false"/>
        <w:spacing w:before="326"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NUDITY means the showing of the human male or female genitals, pubic area or buttocks with less than a full opaque covering, or the showing of the female breast with less than a fully opaque covering of any portion thereof below the top of the nipple, or the depiction of covered male genitals in a discernably turgid state. </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17"/>
          <w:vertAlign w:val="baseline"/>
          <w:lang w:val="en-US"/>
        </w:rPr>
        <w:t xml:space="preserve">
</w:t>
      </w:r>
    </w:p>
    <w:p>
      <w:pPr>
        <w:pageBreakBefore w:val="false"/>
        <w:spacing w:before="320" w:after="664"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SEXUAL CONDUCT means acts of masturbation, homosexuality, sexual intercourse, or physical contact with a person’s clothed or unclothed genitals, pubic area, buttocks or, if such person be a female, breast.</w:t>
      </w:r>
      <w:r>
        <w:rPr>
          <w:rFonts w:ascii="Arial" w:hAnsi="Arial" w:eastAsia="Arial"/>
          <w:strike w:val="false"/>
          <w:color w:val="000000"/>
          <w:spacing w:val="0"/>
          <w:w w:val="100"/>
          <w:sz w:val="28"/>
          <w:vertAlign w:val="superscript"/>
          <w:lang w:val="en-US"/>
        </w:rPr>
        <w:t xml:space="preserve">3</w:t>
      </w:r>
      <w:r>
        <w:rPr>
          <w:rFonts w:ascii="Arial" w:hAnsi="Arial" w:eastAsia="Arial"/>
          <w:strike w:val="false"/>
          <w:color w:val="000000"/>
          <w:spacing w:val="0"/>
          <w:w w:val="100"/>
          <w:sz w:val="17"/>
          <w:vertAlign w:val="baseline"/>
          <w:lang w:val="en-US"/>
        </w:rPr>
        <w:t xml:space="preserve">
</w:t>
      </w:r>
    </w:p>
    <w:p>
      <w:pPr>
        <w:pageBreakBefore w:val="false"/>
        <w:spacing w:before="256" w:after="0" w:line="276" w:lineRule="exact"/>
        <w:ind w:right="0" w:left="0" w:firstLine="0"/>
        <w:jc w:val="left"/>
        <w:textAlignment w:val="baseline"/>
        <w:rPr>
          <w:rFonts w:ascii="Times New Roman" w:hAnsi="Times New Roman" w:eastAsia="Times New Roman"/>
          <w:strike w:val="false"/>
          <w:color w:val="000000"/>
          <w:spacing w:val="0"/>
          <w:w w:val="100"/>
          <w:sz w:val="14"/>
          <w:vertAlign w:val="superscript"/>
          <w:lang w:val="en-US"/>
        </w:rPr>
      </w:pPr>
      <w:r>
        <w:pict>
          <v:line strokeweight="0.95pt" strokecolor="#000000" from="108pt,642.25pt" to="252.05pt,642.25pt" style="position:absolute;mso-position-horizontal-relative:page;mso-position-vertical-relative:page;">
            <v:stroke dashstyle="solid"/>
          </v:line>
        </w:pict>
      </w:r>
      <w:r>
        <w:rPr>
          <w:rFonts w:ascii="Times New Roman" w:hAnsi="Times New Roman" w:eastAsia="Times New Roman"/>
          <w:strike w:val="false"/>
          <w:color w:val="000000"/>
          <w:spacing w:val="0"/>
          <w:w w:val="100"/>
          <w:sz w:val="14"/>
          <w:vertAlign w:val="superscript"/>
          <w:lang w:val="en-US"/>
        </w:rPr>
        <w:t xml:space="preserve">1</w:t>
      </w:r>
      <w:r>
        <w:rPr>
          <w:rFonts w:ascii="Arial" w:hAnsi="Arial" w:eastAsia="Arial"/>
          <w:strike w:val="false"/>
          <w:color w:val="000000"/>
          <w:spacing w:val="0"/>
          <w:w w:val="100"/>
          <w:sz w:val="24"/>
          <w:vertAlign w:val="baseline"/>
          <w:lang w:val="en-US"/>
        </w:rPr>
        <w:t xml:space="preserve"> Penal Law § 235.20(1).</w:t>
      </w:r>
    </w:p>
    <w:p>
      <w:pPr>
        <w:pageBreakBefore w:val="false"/>
        <w:spacing w:before="243" w:after="0" w:line="276" w:lineRule="exact"/>
        <w:ind w:right="0" w:left="0" w:firstLine="0"/>
        <w:jc w:val="left"/>
        <w:textAlignment w:val="baseline"/>
        <w:rPr>
          <w:rFonts w:ascii="Times New Roman" w:hAnsi="Times New Roman" w:eastAsia="Times New Roman"/>
          <w:strike w:val="false"/>
          <w:color w:val="000000"/>
          <w:spacing w:val="0"/>
          <w:w w:val="100"/>
          <w:sz w:val="14"/>
          <w:vertAlign w:val="superscript"/>
          <w:lang w:val="en-US"/>
        </w:rPr>
      </w:pPr>
      <w:r>
        <w:rPr>
          <w:rFonts w:ascii="Times New Roman" w:hAnsi="Times New Roman" w:eastAsia="Times New Roman"/>
          <w:strike w:val="false"/>
          <w:color w:val="000000"/>
          <w:spacing w:val="0"/>
          <w:w w:val="100"/>
          <w:sz w:val="14"/>
          <w:vertAlign w:val="superscript"/>
          <w:lang w:val="en-US"/>
        </w:rPr>
        <w:t xml:space="preserve">2</w:t>
      </w:r>
      <w:r>
        <w:rPr>
          <w:rFonts w:ascii="Arial" w:hAnsi="Arial" w:eastAsia="Arial"/>
          <w:strike w:val="false"/>
          <w:color w:val="000000"/>
          <w:spacing w:val="0"/>
          <w:w w:val="100"/>
          <w:sz w:val="24"/>
          <w:vertAlign w:val="baseline"/>
          <w:lang w:val="en-US"/>
        </w:rPr>
        <w:t xml:space="preserve"> Penal Law § 235.20(2).</w:t>
      </w:r>
    </w:p>
    <w:p>
      <w:pPr>
        <w:pageBreakBefore w:val="false"/>
        <w:spacing w:before="242" w:after="0" w:line="276" w:lineRule="exact"/>
        <w:ind w:right="0" w:left="0" w:firstLine="0"/>
        <w:jc w:val="left"/>
        <w:textAlignment w:val="baseline"/>
        <w:rPr>
          <w:rFonts w:ascii="Times New Roman" w:hAnsi="Times New Roman" w:eastAsia="Times New Roman"/>
          <w:strike w:val="false"/>
          <w:color w:val="000000"/>
          <w:spacing w:val="0"/>
          <w:w w:val="100"/>
          <w:sz w:val="14"/>
          <w:vertAlign w:val="superscript"/>
          <w:lang w:val="en-US"/>
        </w:rPr>
      </w:pPr>
      <w:r>
        <w:rPr>
          <w:rFonts w:ascii="Times New Roman" w:hAnsi="Times New Roman" w:eastAsia="Times New Roman"/>
          <w:strike w:val="false"/>
          <w:color w:val="000000"/>
          <w:spacing w:val="0"/>
          <w:w w:val="100"/>
          <w:sz w:val="14"/>
          <w:vertAlign w:val="superscript"/>
          <w:lang w:val="en-US"/>
        </w:rPr>
        <w:t xml:space="preserve">3</w:t>
      </w:r>
      <w:r>
        <w:rPr>
          <w:rFonts w:ascii="Arial" w:hAnsi="Arial" w:eastAsia="Arial"/>
          <w:strike w:val="false"/>
          <w:color w:val="000000"/>
          <w:spacing w:val="0"/>
          <w:w w:val="100"/>
          <w:sz w:val="24"/>
          <w:vertAlign w:val="baseline"/>
          <w:lang w:val="en-US"/>
        </w:rPr>
        <w:t xml:space="preserve"> Penal Law § 235.20(3).</w:t>
      </w:r>
    </w:p>
    <w:p>
      <w:pPr>
        <w:sectPr>
          <w:footerReference w:type="even" r:id="fId0"/>
          <w:type w:val="nextPage"/>
          <w:pgSz w:w="12240" w:h="15840" w:orient="portrait"/>
          <w:pgMar w:bottom="1004" w:top="1440" w:right="2140" w:left="2160" w:header="720" w:footer="1383"/>
          <w:titlePg w:val="true"/>
          <w:textDirection w:val="lrTb"/>
        </w:sectPr>
      </w:pPr>
    </w:p>
    <w:p>
      <w:pPr>
        <w:pageBreakBefore w:val="false"/>
        <w:spacing w:before="0"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pict>
          <v:line strokeweight="1.2pt" strokecolor="#000000" from="108pt,616.3pt" to="252.05pt,616.3pt" style="position:absolute;mso-position-horizontal-relative:page;mso-position-vertical-relative:page;">
            <v:stroke dashstyle="solid"/>
          </v:line>
        </w:pict>
      </w:r>
      <w:r>
        <w:rPr>
          <w:rFonts w:ascii="Arial" w:hAnsi="Arial" w:eastAsia="Arial"/>
          <w:strike w:val="false"/>
          <w:color w:val="000000"/>
          <w:spacing w:val="0"/>
          <w:w w:val="100"/>
          <w:sz w:val="28"/>
          <w:vertAlign w:val="baseline"/>
          <w:lang w:val="en-US"/>
        </w:rPr>
        <w:t xml:space="preserve">SADO-MASOCHISTIC ABUSE means flagellation or torture by or upon a person clad in undergarments, a mask or bizarre costume, or the condition of being fettered, bound or otherwise physically restrained on the part of one so clothed.</w:t>
      </w:r>
      <w:r>
        <w:rPr>
          <w:rFonts w:ascii="Arial" w:hAnsi="Arial" w:eastAsia="Arial"/>
          <w:strike w:val="false"/>
          <w:color w:val="000000"/>
          <w:spacing w:val="0"/>
          <w:w w:val="100"/>
          <w:sz w:val="28"/>
          <w:vertAlign w:val="superscript"/>
          <w:lang w:val="en-US"/>
        </w:rPr>
        <w:t xml:space="preserve">4</w:t>
      </w:r>
      <w:r>
        <w:rPr>
          <w:rFonts w:ascii="Arial" w:hAnsi="Arial" w:eastAsia="Arial"/>
          <w:strike w:val="false"/>
          <w:color w:val="000000"/>
          <w:spacing w:val="0"/>
          <w:w w:val="100"/>
          <w:sz w:val="17"/>
          <w:vertAlign w:val="baseline"/>
          <w:lang w:val="en-US"/>
        </w:rPr>
        <w:t xml:space="preserve">
</w:t>
      </w:r>
    </w:p>
    <w:p>
      <w:pPr>
        <w:pageBreakBefore w:val="false"/>
        <w:spacing w:before="327" w:after="0" w:line="324" w:lineRule="exact"/>
        <w:ind w:right="0" w:left="0" w:firstLine="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HARMFUL TO MINORS means that quality of any description or representation, in whatever form, of nudity, sexual conduct, sexual excitement, or sado-masochistic abuse, when it:</w:t>
      </w:r>
    </w:p>
    <w:p>
      <w:pPr>
        <w:pageBreakBefore w:val="false"/>
        <w:numPr>
          <w:ilvl w:val="0"/>
          <w:numId w:val="1"/>
        </w:numPr>
        <w:tabs>
          <w:tab w:val="clear" w:pos="432"/>
          <w:tab w:val="left" w:pos="1152"/>
        </w:tabs>
        <w:spacing w:before="0"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considered as a whole, appeals to the prurient interest in sex of minors; and</w:t>
      </w:r>
    </w:p>
    <w:p>
      <w:pPr>
        <w:pageBreakBefore w:val="false"/>
        <w:numPr>
          <w:ilvl w:val="0"/>
          <w:numId w:val="1"/>
        </w:numPr>
        <w:tabs>
          <w:tab w:val="clear" w:pos="432"/>
          <w:tab w:val="left" w:pos="1152"/>
        </w:tabs>
        <w:spacing w:before="2"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is patently offensive to prevailing standards in the adult community as a whole with respect to what is suitable material for minors; and</w:t>
      </w:r>
    </w:p>
    <w:p>
      <w:pPr>
        <w:pageBreakBefore w:val="false"/>
        <w:numPr>
          <w:ilvl w:val="0"/>
          <w:numId w:val="1"/>
        </w:numPr>
        <w:tabs>
          <w:tab w:val="clear" w:pos="432"/>
          <w:tab w:val="left" w:pos="1152"/>
        </w:tabs>
        <w:spacing w:before="5" w:after="0" w:line="317"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considered as a whole, lacks serious literary, artistic, political and scientific value for minors.</w:t>
      </w:r>
      <w:r>
        <w:rPr>
          <w:rFonts w:ascii="Arial" w:hAnsi="Arial" w:eastAsia="Arial"/>
          <w:strike w:val="false"/>
          <w:color w:val="000000"/>
          <w:spacing w:val="0"/>
          <w:w w:val="100"/>
          <w:sz w:val="28"/>
          <w:vertAlign w:val="superscript"/>
          <w:lang w:val="en-US"/>
        </w:rPr>
        <w:t xml:space="preserve">5</w:t>
      </w:r>
      <w:r>
        <w:rPr>
          <w:rFonts w:ascii="Arial" w:hAnsi="Arial" w:eastAsia="Arial"/>
          <w:strike w:val="false"/>
          <w:color w:val="000000"/>
          <w:spacing w:val="0"/>
          <w:w w:val="100"/>
          <w:sz w:val="17"/>
          <w:vertAlign w:val="baseline"/>
          <w:lang w:val="en-US"/>
        </w:rPr>
        <w:t xml:space="preserve">
</w:t>
      </w:r>
    </w:p>
    <w:p>
      <w:pPr>
        <w:pageBreakBefore w:val="false"/>
        <w:spacing w:before="323"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“Sexual excitement” as used in this definition means the condition of human male or female genitals when in a state of sexual stimulation or arousal.</w:t>
      </w:r>
      <w:r>
        <w:rPr>
          <w:rFonts w:ascii="Arial" w:hAnsi="Arial" w:eastAsia="Arial"/>
          <w:strike w:val="false"/>
          <w:color w:val="000000"/>
          <w:spacing w:val="0"/>
          <w:w w:val="100"/>
          <w:sz w:val="28"/>
          <w:vertAlign w:val="superscript"/>
          <w:lang w:val="en-US"/>
        </w:rPr>
        <w:t xml:space="preserve">6</w:t>
      </w:r>
      <w:r>
        <w:rPr>
          <w:rFonts w:ascii="Arial" w:hAnsi="Arial" w:eastAsia="Arial"/>
          <w:strike w:val="false"/>
          <w:color w:val="000000"/>
          <w:spacing w:val="0"/>
          <w:w w:val="100"/>
          <w:sz w:val="17"/>
          <w:vertAlign w:val="baseline"/>
          <w:lang w:val="en-US"/>
        </w:rPr>
        <w:t xml:space="preserve">
</w:t>
      </w:r>
    </w:p>
    <w:p>
      <w:pPr>
        <w:pageBreakBefore w:val="false"/>
        <w:spacing w:before="332" w:after="0" w:line="324"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Under our law, a person who sells to a minor an admission ticket or pass to premises whereon there is exhibited [or to be exhibited] any of the described material is presumed to do so with knowledge of the character and content of that material.</w:t>
      </w:r>
      <w:r>
        <w:rPr>
          <w:rFonts w:ascii="Arial" w:hAnsi="Arial" w:eastAsia="Arial"/>
          <w:strike w:val="false"/>
          <w:color w:val="000000"/>
          <w:spacing w:val="-3"/>
          <w:w w:val="100"/>
          <w:sz w:val="28"/>
          <w:vertAlign w:val="superscript"/>
          <w:lang w:val="en-US"/>
        </w:rPr>
        <w:t xml:space="preserve">7</w:t>
      </w:r>
      <w:r>
        <w:rPr>
          <w:rFonts w:ascii="Arial" w:hAnsi="Arial" w:eastAsia="Arial"/>
          <w:strike w:val="false"/>
          <w:color w:val="000000"/>
          <w:spacing w:val="-3"/>
          <w:w w:val="100"/>
          <w:sz w:val="28"/>
          <w:vertAlign w:val="baseline"/>
          <w:lang w:val="en-US"/>
        </w:rPr>
        <w:t xml:space="preserve"> This means that, if the People have proven beyond a reasonable doubt that the defendant sold to a minor an admission ticket or pass to premises whereon there was exhibited [or was to be exhibited] any of the described material, you may, but you are not required to, presume from that fact that the defendant did so with knowledge of the character and content of that material.</w:t>
      </w:r>
    </w:p>
    <w:p>
      <w:pPr>
        <w:pageBreakBefore w:val="false"/>
        <w:spacing w:before="327" w:after="498" w:line="324" w:lineRule="exact"/>
        <w:ind w:right="0" w:left="720" w:firstLine="0"/>
        <w:jc w:val="both"/>
        <w:textAlignment w:val="baseline"/>
        <w:rPr>
          <w:rFonts w:ascii="Arial" w:hAnsi="Arial" w:eastAsia="Arial"/>
          <w:strike w:val="false"/>
          <w:color w:val="000000"/>
          <w:spacing w:val="6"/>
          <w:w w:val="100"/>
          <w:sz w:val="28"/>
          <w:vertAlign w:val="baseline"/>
          <w:lang w:val="en-US"/>
        </w:rPr>
      </w:pPr>
      <w:r>
        <w:rPr>
          <w:rFonts w:ascii="Arial" w:hAnsi="Arial" w:eastAsia="Arial"/>
          <w:strike w:val="false"/>
          <w:color w:val="000000"/>
          <w:spacing w:val="6"/>
          <w:w w:val="100"/>
          <w:sz w:val="28"/>
          <w:vertAlign w:val="baseline"/>
          <w:lang w:val="en-US"/>
        </w:rPr>
        <w:t xml:space="preserve">[</w:t>
      </w:r>
      <w:r>
        <w:rPr>
          <w:rFonts w:ascii="Arial" w:hAnsi="Arial" w:eastAsia="Arial"/>
          <w:i w:val="true"/>
          <w:strike w:val="false"/>
          <w:color w:val="000000"/>
          <w:spacing w:val="6"/>
          <w:w w:val="100"/>
          <w:sz w:val="28"/>
          <w:vertAlign w:val="baseline"/>
          <w:lang w:val="en-US"/>
        </w:rPr>
        <w:t xml:space="preserve">Add where the affirmative defense to this crime is not</w:t>
      </w:r>
    </w:p>
    <w:p>
      <w:pPr>
        <w:pageBreakBefore w:val="false"/>
        <w:spacing w:before="259" w:after="0" w:line="276" w:lineRule="exact"/>
        <w:ind w:right="0" w:left="0" w:firstLine="0"/>
        <w:jc w:val="left"/>
        <w:textAlignment w:val="baseline"/>
        <w:rPr>
          <w:rFonts w:ascii="Times New Roman" w:hAnsi="Times New Roman" w:eastAsia="Times New Roman"/>
          <w:strike w:val="false"/>
          <w:color w:val="000000"/>
          <w:spacing w:val="0"/>
          <w:w w:val="100"/>
          <w:sz w:val="14"/>
          <w:vertAlign w:val="superscript"/>
          <w:lang w:val="en-US"/>
        </w:rPr>
      </w:pPr>
      <w:r>
        <w:rPr>
          <w:rFonts w:ascii="Times New Roman" w:hAnsi="Times New Roman" w:eastAsia="Times New Roman"/>
          <w:strike w:val="false"/>
          <w:color w:val="000000"/>
          <w:spacing w:val="0"/>
          <w:w w:val="100"/>
          <w:sz w:val="14"/>
          <w:vertAlign w:val="superscript"/>
          <w:lang w:val="en-US"/>
        </w:rPr>
        <w:t xml:space="preserve">4</w:t>
      </w:r>
      <w:r>
        <w:rPr>
          <w:rFonts w:ascii="Arial" w:hAnsi="Arial" w:eastAsia="Arial"/>
          <w:strike w:val="false"/>
          <w:color w:val="000000"/>
          <w:spacing w:val="0"/>
          <w:w w:val="100"/>
          <w:sz w:val="24"/>
          <w:vertAlign w:val="baseline"/>
          <w:lang w:val="en-US"/>
        </w:rPr>
        <w:t xml:space="preserve"> Penal Law § 235.20(5).</w:t>
      </w:r>
    </w:p>
    <w:p>
      <w:pPr>
        <w:pageBreakBefore w:val="false"/>
        <w:spacing w:before="242" w:after="0" w:line="276" w:lineRule="exact"/>
        <w:ind w:right="0" w:left="0" w:firstLine="0"/>
        <w:jc w:val="left"/>
        <w:textAlignment w:val="baseline"/>
        <w:rPr>
          <w:rFonts w:ascii="Times New Roman" w:hAnsi="Times New Roman" w:eastAsia="Times New Roman"/>
          <w:strike w:val="false"/>
          <w:color w:val="000000"/>
          <w:spacing w:val="0"/>
          <w:w w:val="100"/>
          <w:sz w:val="14"/>
          <w:vertAlign w:val="superscript"/>
          <w:lang w:val="en-US"/>
        </w:rPr>
      </w:pPr>
      <w:r>
        <w:rPr>
          <w:rFonts w:ascii="Times New Roman" w:hAnsi="Times New Roman" w:eastAsia="Times New Roman"/>
          <w:strike w:val="false"/>
          <w:color w:val="000000"/>
          <w:spacing w:val="0"/>
          <w:w w:val="100"/>
          <w:sz w:val="14"/>
          <w:vertAlign w:val="superscript"/>
          <w:lang w:val="en-US"/>
        </w:rPr>
        <w:t xml:space="preserve">5</w:t>
      </w:r>
      <w:r>
        <w:rPr>
          <w:rFonts w:ascii="Arial" w:hAnsi="Arial" w:eastAsia="Arial"/>
          <w:strike w:val="false"/>
          <w:color w:val="000000"/>
          <w:spacing w:val="0"/>
          <w:w w:val="100"/>
          <w:sz w:val="24"/>
          <w:vertAlign w:val="baseline"/>
          <w:lang w:val="en-US"/>
        </w:rPr>
        <w:t xml:space="preserve"> Penal Law § 235.20(6).</w:t>
      </w:r>
    </w:p>
    <w:p>
      <w:pPr>
        <w:pageBreakBefore w:val="false"/>
        <w:spacing w:before="238" w:after="0" w:line="276" w:lineRule="exact"/>
        <w:ind w:right="0" w:left="0" w:firstLine="0"/>
        <w:jc w:val="left"/>
        <w:textAlignment w:val="baseline"/>
        <w:rPr>
          <w:rFonts w:ascii="Times New Roman" w:hAnsi="Times New Roman" w:eastAsia="Times New Roman"/>
          <w:strike w:val="false"/>
          <w:color w:val="000000"/>
          <w:spacing w:val="0"/>
          <w:w w:val="100"/>
          <w:sz w:val="14"/>
          <w:vertAlign w:val="superscript"/>
          <w:lang w:val="en-US"/>
        </w:rPr>
      </w:pPr>
      <w:r>
        <w:rPr>
          <w:rFonts w:ascii="Times New Roman" w:hAnsi="Times New Roman" w:eastAsia="Times New Roman"/>
          <w:strike w:val="false"/>
          <w:color w:val="000000"/>
          <w:spacing w:val="0"/>
          <w:w w:val="100"/>
          <w:sz w:val="14"/>
          <w:vertAlign w:val="superscript"/>
          <w:lang w:val="en-US"/>
        </w:rPr>
        <w:t xml:space="preserve">6</w:t>
      </w:r>
      <w:r>
        <w:rPr>
          <w:rFonts w:ascii="Arial" w:hAnsi="Arial" w:eastAsia="Arial"/>
          <w:strike w:val="false"/>
          <w:color w:val="000000"/>
          <w:spacing w:val="0"/>
          <w:w w:val="100"/>
          <w:sz w:val="24"/>
          <w:vertAlign w:val="baseline"/>
          <w:lang w:val="en-US"/>
        </w:rPr>
        <w:t xml:space="preserve"> Penal Law § 235.20(4).</w:t>
      </w:r>
    </w:p>
    <w:p>
      <w:pPr>
        <w:sectPr>
          <w:type w:val="nextPage"/>
          <w:pgSz w:w="12240" w:h="15840" w:orient="portrait"/>
          <w:pgMar w:bottom="1322" w:top="1440" w:right="2140" w:left="2160" w:header="720" w:footer="1391"/>
          <w:pgNumType w:start="7"/>
          <w:titlePg w:val="false"/>
          <w:textDirection w:val="lrTb"/>
        </w:sectPr>
      </w:pPr>
    </w:p>
    <w:p>
      <w:pPr>
        <w:pageBreakBefore w:val="false"/>
        <w:spacing w:before="8" w:after="0" w:line="318" w:lineRule="exact"/>
        <w:ind w:right="0" w:left="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raised:</w:t>
      </w:r>
    </w:p>
    <w:p>
      <w:pPr>
        <w:pageBreakBefore w:val="false"/>
        <w:spacing w:before="28" w:after="0" w:line="31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It is not an element of this crime, and thus the People are not required to prove beyond a reasonable doubt, that the defendant knew the person was less than seventeen years of age.</w:t>
      </w:r>
      <w:r>
        <w:rPr>
          <w:rFonts w:ascii="Arial" w:hAnsi="Arial" w:eastAsia="Arial"/>
          <w:strike w:val="false"/>
          <w:color w:val="000000"/>
          <w:spacing w:val="0"/>
          <w:w w:val="100"/>
          <w:sz w:val="28"/>
          <w:vertAlign w:val="superscript"/>
          <w:lang w:val="en-US"/>
        </w:rPr>
        <w:t xml:space="preserve">8</w:t>
      </w:r>
      <w:r>
        <w:rPr>
          <w:rFonts w:ascii="Arial" w:hAnsi="Arial" w:eastAsia="Arial"/>
          <w:strike w:val="false"/>
          <w:color w:val="000000"/>
          <w:spacing w:val="0"/>
          <w:w w:val="100"/>
          <w:sz w:val="28"/>
          <w:vertAlign w:val="baseline"/>
          <w:lang w:val="en-US"/>
        </w:rPr>
        <w:t xml:space="preserve">]</w:t>
      </w:r>
    </w:p>
    <w:p>
      <w:pPr>
        <w:pageBreakBefore w:val="false"/>
        <w:spacing w:before="325"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of the evidence in the case, beyond a reasonable doubt, each of the following four elements:</w:t>
      </w:r>
    </w:p>
    <w:p>
      <w:pPr>
        <w:pageBreakBefore w:val="false"/>
        <w:numPr>
          <w:ilvl w:val="0"/>
          <w:numId w:val="2"/>
        </w:numPr>
        <w:tabs>
          <w:tab w:val="clear" w:pos="360"/>
          <w:tab w:val="left" w:pos="1080"/>
        </w:tabs>
        <w:spacing w:before="324" w:after="0" w:line="324" w:lineRule="exact"/>
        <w:ind w:right="0" w:left="0" w:firstLine="720"/>
        <w:jc w:val="both"/>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That on or about </w:t>
      </w:r>
      <w:r>
        <w:rPr>
          <w:rFonts w:ascii="Arial" w:hAnsi="Arial" w:eastAsia="Arial"/>
          <w:strike w:val="false"/>
          <w:color w:val="000000"/>
          <w:spacing w:val="-1"/>
          <w:w w:val="100"/>
          <w:sz w:val="28"/>
          <w:u w:val="single"/>
          <w:vertAlign w:val="baseline"/>
          <w:lang w:val="en-US"/>
        </w:rPr>
        <w:t xml:space="preserve">(date),</w:t>
      </w:r>
      <w:r>
        <w:rPr>
          <w:rFonts w:ascii="Arial" w:hAnsi="Arial" w:eastAsia="Arial"/>
          <w:strike w:val="false"/>
          <w:color w:val="000000"/>
          <w:spacing w:val="-1"/>
          <w:w w:val="100"/>
          <w:sz w:val="28"/>
          <w:vertAlign w:val="baseline"/>
          <w:lang w:val="en-US"/>
        </w:rPr>
        <w:t xml:space="preserve"> in the county of</w:t>
      </w:r>
      <w:r>
        <w:rPr>
          <w:rFonts w:ascii="Arial" w:hAnsi="Arial" w:eastAsia="Arial"/>
          <w:strike w:val="false"/>
          <w:color w:val="000000"/>
          <w:spacing w:val="-1"/>
          <w:w w:val="100"/>
          <w:sz w:val="28"/>
          <w:u w:val="single"/>
          <w:vertAlign w:val="baseline"/>
          <w:lang w:val="en-US"/>
        </w:rPr>
        <w:t xml:space="preserve"> (county) </w:t>
      </w:r>
      <w:r>
        <w:rPr>
          <w:rFonts w:ascii="Arial" w:hAnsi="Arial" w:eastAsia="Arial"/>
          <w:strike w:val="false"/>
          <w:color w:val="000000"/>
          <w:spacing w:val="-1"/>
          <w:w w:val="100"/>
          <w:sz w:val="28"/>
          <w:vertAlign w:val="baseline"/>
          <w:lang w:val="en-US"/>
        </w:rPr>
        <w:t xml:space="preserve"> , the defendant, </w:t>
      </w:r>
      <w:r>
        <w:rPr>
          <w:rFonts w:ascii="Arial" w:hAnsi="Arial" w:eastAsia="Arial"/>
          <w:strike w:val="false"/>
          <w:color w:val="000000"/>
          <w:spacing w:val="-1"/>
          <w:w w:val="100"/>
          <w:sz w:val="28"/>
          <w:u w:val="single"/>
          <w:vertAlign w:val="baseline"/>
          <w:lang w:val="en-US"/>
        </w:rPr>
        <w:t xml:space="preserve"> (defendant’s name),sold</w:t>
      </w:r>
      <w:r>
        <w:rPr>
          <w:rFonts w:ascii="Arial" w:hAnsi="Arial" w:eastAsia="Arial"/>
          <w:strike w:val="false"/>
          <w:color w:val="000000"/>
          <w:spacing w:val="-1"/>
          <w:w w:val="100"/>
          <w:sz w:val="28"/>
          <w:vertAlign w:val="baseline"/>
          <w:lang w:val="en-US"/>
        </w:rPr>
        <w:t xml:space="preserve"> an admission ticket or pass to premises whereon there was exhibited or was to be exhibited</w:t>
      </w:r>
    </w:p>
    <w:p>
      <w:pPr>
        <w:pageBreakBefore w:val="false"/>
        <w:spacing w:before="324" w:after="0" w:line="324" w:lineRule="exact"/>
        <w:ind w:right="0" w:left="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t>
      </w:r>
      <w:r>
        <w:rPr>
          <w:rFonts w:ascii="Arial" w:hAnsi="Arial" w:eastAsia="Arial"/>
          <w:i w:val="true"/>
          <w:strike w:val="false"/>
          <w:color w:val="000000"/>
          <w:spacing w:val="0"/>
          <w:w w:val="100"/>
          <w:sz w:val="28"/>
          <w:vertAlign w:val="baseline"/>
          <w:lang w:val="en-US"/>
        </w:rPr>
        <w:t xml:space="preserve">Select as appropriate</w:t>
      </w:r>
      <w:r>
        <w:rPr>
          <w:rFonts w:ascii="Arial" w:hAnsi="Arial" w:eastAsia="Arial"/>
          <w:strike w:val="false"/>
          <w:color w:val="000000"/>
          <w:spacing w:val="0"/>
          <w:w w:val="100"/>
          <w:sz w:val="28"/>
          <w:vertAlign w:val="baseline"/>
          <w:lang w:val="en-US"/>
        </w:rPr>
        <w:t xml:space="preserve">: a motion picture, show or other presentation] which, in whole or in part, depicted nudity, sexual conduct or sado-masochistic abuse;</w:t>
      </w:r>
    </w:p>
    <w:p>
      <w:pPr>
        <w:pageBreakBefore w:val="false"/>
        <w:numPr>
          <w:ilvl w:val="0"/>
          <w:numId w:val="2"/>
        </w:numPr>
        <w:tabs>
          <w:tab w:val="clear" w:pos="360"/>
          <w:tab w:val="left" w:pos="1080"/>
        </w:tabs>
        <w:spacing w:before="321" w:after="0" w:line="327"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knew the character and content of that material;</w:t>
      </w:r>
    </w:p>
    <w:p>
      <w:pPr>
        <w:pageBreakBefore w:val="false"/>
        <w:numPr>
          <w:ilvl w:val="0"/>
          <w:numId w:val="2"/>
        </w:numPr>
        <w:tabs>
          <w:tab w:val="clear" w:pos="360"/>
          <w:tab w:val="left" w:pos="1080"/>
        </w:tabs>
        <w:spacing w:before="333" w:after="0" w:line="31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material was harmful to minors; and</w:t>
      </w:r>
    </w:p>
    <w:p>
      <w:pPr>
        <w:pageBreakBefore w:val="false"/>
        <w:numPr>
          <w:ilvl w:val="0"/>
          <w:numId w:val="2"/>
        </w:numPr>
        <w:tabs>
          <w:tab w:val="clear" w:pos="360"/>
          <w:tab w:val="left" w:pos="1080"/>
        </w:tabs>
        <w:spacing w:before="323"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sold the admission ticket or pass to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 and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was a minor .</w:t>
      </w:r>
    </w:p>
    <w:p>
      <w:pPr>
        <w:pageBreakBefore w:val="false"/>
        <w:spacing w:before="327" w:after="0" w:line="318" w:lineRule="exact"/>
        <w:ind w:right="0" w:left="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t>
      </w:r>
      <w:r>
        <w:rPr>
          <w:rFonts w:ascii="Arial" w:hAnsi="Arial" w:eastAsia="Arial"/>
          <w:i w:val="true"/>
          <w:strike w:val="false"/>
          <w:color w:val="000000"/>
          <w:spacing w:val="0"/>
          <w:w w:val="100"/>
          <w:sz w:val="28"/>
          <w:vertAlign w:val="baseline"/>
          <w:lang w:val="en-US"/>
        </w:rPr>
        <w:t xml:space="preserve">NOTE: If the affirmative defense does not apply:</w:t>
      </w:r>
    </w:p>
    <w:p>
      <w:pPr>
        <w:pageBreakBefore w:val="false"/>
        <w:spacing w:before="321"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4" w:after="1073"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pageBreakBefore w:val="false"/>
        <w:spacing w:before="256" w:after="0" w:line="276" w:lineRule="exact"/>
        <w:ind w:right="0" w:left="0" w:firstLine="0"/>
        <w:jc w:val="left"/>
        <w:textAlignment w:val="baseline"/>
        <w:rPr>
          <w:rFonts w:ascii="Times New Roman" w:hAnsi="Times New Roman" w:eastAsia="Times New Roman"/>
          <w:strike w:val="false"/>
          <w:color w:val="000000"/>
          <w:spacing w:val="0"/>
          <w:w w:val="100"/>
          <w:sz w:val="14"/>
          <w:vertAlign w:val="superscript"/>
          <w:lang w:val="en-US"/>
        </w:rPr>
      </w:pPr>
      <w:r>
        <w:pict>
          <v:line strokeweight="0.95pt" strokecolor="#000000" from="108pt,693.85pt" to="252.05pt,693.85pt" style="position:absolute;mso-position-horizontal-relative:page;mso-position-vertical-relative:page;">
            <v:stroke dashstyle="solid"/>
          </v:line>
        </w:pict>
      </w:r>
      <w:r>
        <w:rPr>
          <w:rFonts w:ascii="Times New Roman" w:hAnsi="Times New Roman" w:eastAsia="Times New Roman"/>
          <w:strike w:val="false"/>
          <w:color w:val="000000"/>
          <w:spacing w:val="0"/>
          <w:w w:val="100"/>
          <w:sz w:val="14"/>
          <w:vertAlign w:val="superscript"/>
          <w:lang w:val="en-US"/>
        </w:rPr>
        <w:t xml:space="preserve">8</w:t>
      </w:r>
      <w:r>
        <w:rPr>
          <w:rFonts w:ascii="Arial" w:hAnsi="Arial" w:eastAsia="Arial"/>
          <w:strike w:val="false"/>
          <w:color w:val="000000"/>
          <w:spacing w:val="0"/>
          <w:w w:val="100"/>
          <w:sz w:val="24"/>
          <w:vertAlign w:val="baseline"/>
          <w:lang w:val="en-US"/>
        </w:rPr>
        <w:t xml:space="preserve"> See Penal Law § 15.05(3).</w:t>
      </w:r>
    </w:p>
    <w:p>
      <w:pPr>
        <w:sectPr>
          <w:type w:val="nextPage"/>
          <w:pgSz w:w="12240" w:h="15840" w:orient="portrait"/>
          <w:pgMar w:bottom="1004" w:top="1440" w:right="2140" w:left="2160" w:header="720" w:footer="1389"/>
          <w:titlePg w:val="false"/>
          <w:textDirection w:val="lrTb"/>
        </w:sectPr>
      </w:pPr>
    </w:p>
    <w:p>
      <w:pPr>
        <w:pageBreakBefore w:val="false"/>
        <w:spacing w:before="8" w:after="0" w:line="319" w:lineRule="exact"/>
        <w:ind w:right="0" w:left="0" w:firstLine="0"/>
        <w:jc w:val="left"/>
        <w:textAlignment w:val="baseline"/>
        <w:rPr>
          <w:rFonts w:ascii="Arial" w:hAnsi="Arial" w:eastAsia="Arial"/>
          <w:strike w:val="false"/>
          <w:color w:val="000000"/>
          <w:spacing w:val="0"/>
          <w:w w:val="100"/>
          <w:sz w:val="28"/>
          <w:vertAlign w:val="baseline"/>
          <w:lang w:val="en-US"/>
        </w:rPr>
      </w:pPr>
      <w:r>
        <w:pict>
          <v:line strokeweight="0.95pt" strokecolor="#000000" from="108pt,693.85pt" to="252.05pt,693.85pt" style="position:absolute;mso-position-horizontal-relative:page;mso-position-vertical-relative:page;">
            <v:stroke dashstyle="solid"/>
          </v:line>
        </w:pict>
      </w:r>
      <w:r>
        <w:rPr>
          <w:rFonts w:ascii="Arial" w:hAnsi="Arial" w:eastAsia="Arial"/>
          <w:strike w:val="false"/>
          <w:color w:val="000000"/>
          <w:spacing w:val="0"/>
          <w:w w:val="100"/>
          <w:sz w:val="28"/>
          <w:vertAlign w:val="baseline"/>
          <w:lang w:val="en-US"/>
        </w:rPr>
        <w:t xml:space="preserve">[</w:t>
      </w:r>
      <w:r>
        <w:rPr>
          <w:rFonts w:ascii="Arial" w:hAnsi="Arial" w:eastAsia="Arial"/>
          <w:i w:val="true"/>
          <w:strike w:val="false"/>
          <w:color w:val="000000"/>
          <w:spacing w:val="0"/>
          <w:w w:val="100"/>
          <w:sz w:val="28"/>
          <w:vertAlign w:val="baseline"/>
          <w:lang w:val="en-US"/>
        </w:rPr>
        <w:t xml:space="preserve">NOTE: If the affirmative defense does apply:</w:t>
      </w:r>
    </w:p>
    <w:p>
      <w:pPr>
        <w:pageBreakBefore w:val="false"/>
        <w:spacing w:before="330"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that the People have not proven beyond a reasonable doubt any one or more of those elements, you must find the defendant not guilty of the crime of Disseminating Indecent Material to Minors in the Second Degree.</w:t>
      </w:r>
    </w:p>
    <w:p>
      <w:pPr>
        <w:pageBreakBefore w:val="false"/>
        <w:spacing w:before="326"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that the People have proven beyond a reasonable doubt each of those elements, you must consider an affirmative defense the defendant has raised. Remember, if you have already found the defendant not guilty of the crime of Disseminating Indecent Material to Minors in the Second Degree, you will not consider the affirmative defense.</w:t>
      </w:r>
    </w:p>
    <w:p>
      <w:pPr>
        <w:pageBreakBefore w:val="false"/>
        <w:spacing w:before="319" w:after="0" w:line="324" w:lineRule="exact"/>
        <w:ind w:right="0" w:left="0" w:firstLine="144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the People are not required to prove beyond a reasonable doubt, that the defendant knew the person was less than seventeen years of age. It is, however, an affirmative defense to this charge of Disseminating Indecent Material to Minors in the Second Degree that:</w:t>
      </w:r>
    </w:p>
    <w:p>
      <w:pPr>
        <w:pageBreakBefore w:val="false"/>
        <w:numPr>
          <w:ilvl w:val="0"/>
          <w:numId w:val="1"/>
        </w:numPr>
        <w:tabs>
          <w:tab w:val="clear" w:pos="432"/>
          <w:tab w:val="left" w:pos="1872"/>
        </w:tabs>
        <w:spacing w:before="323" w:after="0" w:line="326" w:lineRule="exact"/>
        <w:ind w:right="0" w:left="72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defendant had reasonable cause to believe that the minor involved was seventeen years old or more; and</w:t>
      </w:r>
    </w:p>
    <w:p>
      <w:pPr>
        <w:pageBreakBefore w:val="false"/>
        <w:numPr>
          <w:ilvl w:val="0"/>
          <w:numId w:val="1"/>
        </w:numPr>
        <w:tabs>
          <w:tab w:val="clear" w:pos="432"/>
          <w:tab w:val="left" w:pos="1872"/>
        </w:tabs>
        <w:spacing w:before="322" w:after="0" w:line="323" w:lineRule="exact"/>
        <w:ind w:right="0" w:left="72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such minor exhibited to the defendant a draft card, driver’s license, birth certificate or other official or apparently official document purporting to establish that such minor was seventeen years old or more.</w:t>
      </w:r>
      <w:r>
        <w:rPr>
          <w:rFonts w:ascii="Arial" w:hAnsi="Arial" w:eastAsia="Arial"/>
          <w:strike w:val="false"/>
          <w:color w:val="000000"/>
          <w:spacing w:val="0"/>
          <w:w w:val="100"/>
          <w:sz w:val="28"/>
          <w:vertAlign w:val="superscript"/>
          <w:lang w:val="en-US"/>
        </w:rPr>
        <w:t xml:space="preserve">9</w:t>
      </w:r>
      <w:r>
        <w:rPr>
          <w:rFonts w:ascii="Arial" w:hAnsi="Arial" w:eastAsia="Arial"/>
          <w:strike w:val="false"/>
          <w:color w:val="000000"/>
          <w:spacing w:val="0"/>
          <w:w w:val="100"/>
          <w:sz w:val="17"/>
          <w:vertAlign w:val="baseline"/>
          <w:lang w:val="en-US"/>
        </w:rPr>
        <w:t xml:space="preserve">
</w:t>
      </w:r>
    </w:p>
    <w:p>
      <w:pPr>
        <w:pageBreakBefore w:val="false"/>
        <w:spacing w:before="326"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the defendant has the burden of proving an affirmative defense by a preponderance of the evidence.</w:t>
      </w:r>
    </w:p>
    <w:p>
      <w:pPr>
        <w:pageBreakBefore w:val="false"/>
        <w:spacing w:before="324"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determining whether the defendant has proven the affirmative defense by a preponderance of the evidence, you may consider evidence introduced by the People or by the defendant.</w:t>
      </w:r>
    </w:p>
    <w:p>
      <w:pPr>
        <w:pageBreakBefore w:val="false"/>
        <w:spacing w:before="330" w:after="0" w:line="318" w:lineRule="exact"/>
        <w:ind w:right="0" w:left="720" w:firstLine="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A preponderance of the evidence means the greater part of</w:t>
      </w:r>
    </w:p>
    <w:p>
      <w:pPr>
        <w:sectPr>
          <w:type w:val="nextPage"/>
          <w:pgSz w:w="12240" w:h="15840" w:orient="portrait"/>
          <w:pgMar w:bottom="1578" w:top="1440" w:right="2140" w:left="2160" w:header="720" w:footer="1440"/>
          <w:pgNumType w:start="9"/>
          <w:titlePg w:val="false"/>
          <w:textDirection w:val="lrTb"/>
        </w:sectPr>
      </w:pPr>
    </w:p>
    <w:p>
      <w:pPr>
        <w:pageBreakBefore w:val="false"/>
        <w:spacing w:before="4" w:after="0" w:line="325" w:lineRule="exact"/>
        <w:ind w:right="0" w:left="0" w:firstLine="0"/>
        <w:jc w:val="both"/>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the believable and reliable evidence, not in terms of the number of witnesses or the length of time taken to present the evidence, but in terms of its quality and the weight and convincing effect it</w:t>
      </w:r>
    </w:p>
    <w:p>
      <w:pPr>
        <w:pageBreakBefore w:val="false"/>
        <w:tabs>
          <w:tab w:val="right" w:leader="none" w:pos="7920"/>
        </w:tabs>
        <w:spacing w:before="0" w:after="0" w:line="324" w:lineRule="exact"/>
        <w:ind w:right="0" w:left="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has.	</w:t>
      </w:r>
      <w:r>
        <w:rPr>
          <w:rFonts w:ascii="Arial" w:hAnsi="Arial" w:eastAsia="Arial"/>
          <w:strike w:val="false"/>
          <w:color w:val="000000"/>
          <w:spacing w:val="0"/>
          <w:w w:val="100"/>
          <w:sz w:val="28"/>
          <w:vertAlign w:val="baseline"/>
          <w:lang w:val="en-US"/>
        </w:rPr>
        <w:t xml:space="preserve">For the affirmative defense to be proved by a</w:t>
        <w:br/>
      </w:r>
      <w:r>
        <w:rPr>
          <w:rFonts w:ascii="Arial" w:hAnsi="Arial" w:eastAsia="Arial"/>
          <w:strike w:val="false"/>
          <w:color w:val="000000"/>
          <w:spacing w:val="0"/>
          <w:w w:val="100"/>
          <w:sz w:val="28"/>
          <w:vertAlign w:val="baseline"/>
          <w:lang w:val="en-US"/>
        </w:rPr>
        <w:t xml:space="preserve">preponderance of the evidence, the evidence that supports the affirmative defense must be of such convincing quality as to outweigh any evidence to the contrary.</w:t>
      </w:r>
    </w:p>
    <w:p>
      <w:pPr>
        <w:pageBreakBefore w:val="false"/>
        <w:spacing w:before="316" w:after="0" w:line="325"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If you find that the defendant has not proven the affirmative defense by a preponderance of the evidence, then, based upon your initial determination that the People had proven beyond a reasonable doubt each of the elements of Disseminating Indecent Material to Minors in the Second Degree, you must find the defendant guilty of that crime.</w:t>
      </w:r>
    </w:p>
    <w:p>
      <w:pPr>
        <w:pageBreakBefore w:val="false"/>
        <w:spacing w:before="317"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that the defendant has proven the affirmative defense by a preponderance of the evidence, then you must find the defendant not guilty of Disseminating Indecent Material to Minors in the Second Degree.]</w:t>
      </w:r>
    </w:p>
    <w:sectPr>
      <w:type w:val="nextPage"/>
      <w:pgSz w:w="12240" w:h="15840" w:orient="portrait"/>
      <w:pgMar w:bottom="7824" w:top="1440" w:right="2145" w:left="2155" w:header="720" w:footer="8242"/>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fId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p>
    <w:pPr>
      <w:pageBreakBefore w:val="false"/>
      <w:spacing w:before="0" w:after="0" w:line="276" w:lineRule="exact"/>
      <w:ind w:right="0" w:left="0"/>
      <w:jc w:val="left"/>
      <w:textAlignment w:val="baseline"/>
      <w:rPr>
        <w:rFonts w:ascii="Times New Roman" w:hAnsi="Times New Roman" w:eastAsia="Times New Roman"/>
        <w:strike w:val="false"/>
        <w:color w:val="000000"/>
        <w:spacing w:val="0"/>
        <w:w w:val="100"/>
        <w:sz w:val="14"/>
        <w:vertAlign w:val="superscript"/>
        <w:lang w:val="en-US"/>
      </w:rPr>
    </w:pPr>
    <w:r>
      <w:rPr>
        <w:rFonts w:ascii="Times New Roman" w:hAnsi="Times New Roman" w:eastAsia="Times New Roman"/>
        <w:strike w:val="false"/>
        <w:color w:val="000000"/>
        <w:spacing w:val="0"/>
        <w:w w:val="100"/>
        <w:sz w:val="14"/>
        <w:vertAlign w:val="superscript"/>
        <w:lang w:val="en-US"/>
      </w:rPr>
      <w:fldChar w:fldCharType="begin"/>
    </w:r>
    <w:r>
      <w:rPr>
        <w:rFonts w:ascii="Times New Roman" w:hAnsi="Times New Roman" w:eastAsia="Times New Roman"/>
        <w:strike w:val="false"/>
        <w:color w:val="000000"/>
        <w:spacing w:val="0"/>
        <w:w w:val="100"/>
        <w:sz w:val="14"/>
        <w:vertAlign w:val="superscript"/>
        <w:lang w:val="en-US"/>
      </w:rPr>
      <w:instrText xml:space="preserve">PAGE</w:instrText>
    </w:r>
    <w:r>
      <w:rPr>
        <w:rFonts w:ascii="Times New Roman" w:hAnsi="Times New Roman" w:eastAsia="Times New Roman"/>
        <w:strike w:val="false"/>
        <w:color w:val="000000"/>
        <w:spacing w:val="0"/>
        <w:w w:val="100"/>
        <w:sz w:val="14"/>
        <w:vertAlign w:val="superscript"/>
        <w:lang w:val="en-US"/>
      </w:rPr>
      <w:fldChar w:fldCharType="end"/>
    </w:r>
    <w:r>
      <w:rPr>
        <w:rFonts w:ascii="Arial" w:hAnsi="Arial" w:eastAsia="Arial"/>
        <w:strike w:val="false"/>
        <w:color w:val="000000"/>
        <w:spacing w:val="0"/>
        <w:w w:val="100"/>
        <w:sz w:val="24"/>
        <w:vertAlign w:val="baseline"/>
        <w:lang w:val="en-US"/>
      </w:rPr>
      <w:t xml:space="preserve"> See Penal Law § 235.23(2).</w:t>
    </w:r>
  </w:p>
</w:ft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lowerLetter"/>
      <w:lvlText w:val="(%1)"/>
      <w:pPr>
        <w:tabs>
          <w:tab w:val="left" w:pos="432"/>
        </w:tabs>
      </w:pPr>
      <w:rPr>
        <w:rFonts w:ascii="Arial" w:hAnsi="Arial" w:eastAsia="Arial"/>
        <w:strike w:val="false"/>
        <w:color w:val="000000"/>
        <w:spacing w:val="0"/>
        <w:w w:val="100"/>
        <w:sz w:val="28"/>
        <w:vertAlign w:val="baseline"/>
        <w:lang w:val="en-US"/>
      </w:rPr>
    </w:lvl>
  </w:abstractNum>
  <w:abstractNum w:abstractNumId="2">
    <w:lvl w:ilvl="0">
      <w:start w:val="1"/>
      <w:numFmt w:val="decimal"/>
      <w:lvlText w:val="%1."/>
      <w:pPr>
        <w:tabs>
          <w:tab w:val="left" w:pos="360"/>
        </w:tabs>
      </w:pPr>
      <w:rPr>
        <w:rFonts w:ascii="Arial" w:hAnsi="Arial" w:eastAsia="Arial"/>
        <w:strike w:val="false"/>
        <w:color w:val="000000"/>
        <w:spacing w:val="-1"/>
        <w:w w:val="100"/>
        <w:sz w:val="28"/>
        <w:vertAlign w:val="baseline"/>
        <w:lang w:val="en-US"/>
      </w:rPr>
    </w:lvl>
  </w:abstractNum>
  <w:num w:numId="1">
    <w:abstractNumId w:val="1"/>
  </w:num>
  <w:num w:numId="2">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evenAndOddHeaders w:val="true"/>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fId0" Type="http://schemas.openxmlformats.org/officeDocument/2006/relationships/footer" Target="footerfId0.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