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3F16" w14:textId="77777777" w:rsidR="005756F8" w:rsidRDefault="00E70759">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PERMITTING PROSTITUTION </w:t>
      </w:r>
      <w:r>
        <w:rPr>
          <w:rFonts w:ascii="Arial" w:eastAsia="Arial" w:hAnsi="Arial"/>
          <w:b/>
          <w:color w:val="000000"/>
          <w:sz w:val="28"/>
        </w:rPr>
        <w:br/>
        <w:t xml:space="preserve">(Possession of Premises) </w:t>
      </w:r>
      <w:r>
        <w:rPr>
          <w:rFonts w:ascii="Arial" w:eastAsia="Arial" w:hAnsi="Arial"/>
          <w:b/>
          <w:color w:val="000000"/>
          <w:sz w:val="28"/>
        </w:rPr>
        <w:br/>
        <w:t xml:space="preserve">Penal Law § 230.40 </w:t>
      </w:r>
      <w:r>
        <w:rPr>
          <w:rFonts w:ascii="Arial" w:eastAsia="Arial" w:hAnsi="Arial"/>
          <w:b/>
          <w:color w:val="000000"/>
          <w:sz w:val="28"/>
        </w:rPr>
        <w:br/>
        <w:t>(Committed on or after Sept. 1, 1967)</w:t>
      </w:r>
    </w:p>
    <w:p w14:paraId="6BB23F17" w14:textId="77777777" w:rsidR="005756F8" w:rsidRDefault="00E70759">
      <w:pPr>
        <w:spacing w:before="327" w:line="321"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Permitting Prostitution.</w:t>
      </w:r>
    </w:p>
    <w:p w14:paraId="6BB23F18" w14:textId="77777777" w:rsidR="005756F8" w:rsidRDefault="00E70759">
      <w:pPr>
        <w:spacing w:before="319"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Permitting Prostitution when, having possession or control of premises which that person knows are being used for prostitution purposes, he or she fails to make reasonable effort to halt or abate such use.</w:t>
      </w:r>
    </w:p>
    <w:p w14:paraId="6BB23F19" w14:textId="77777777" w:rsidR="005756F8" w:rsidRDefault="00E70759">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w:t>
      </w:r>
      <w:r>
        <w:rPr>
          <w:rFonts w:ascii="Arial" w:eastAsia="Arial" w:hAnsi="Arial"/>
          <w:color w:val="000000"/>
          <w:sz w:val="28"/>
        </w:rPr>
        <w:t xml:space="preserve"> term used in that definition has a special meaning:</w:t>
      </w:r>
    </w:p>
    <w:p w14:paraId="6BB23F1A" w14:textId="77777777" w:rsidR="005756F8" w:rsidRDefault="00E70759">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PROSTITUTION means the act or practice of engaging, or agreeing or offering to engage in sexual conduct with another person in return for a fee.</w:t>
      </w:r>
      <w:r>
        <w:rPr>
          <w:rFonts w:ascii="Arial" w:eastAsia="Arial" w:hAnsi="Arial"/>
          <w:color w:val="000000"/>
          <w:sz w:val="28"/>
          <w:vertAlign w:val="superscript"/>
        </w:rPr>
        <w:t>1</w:t>
      </w:r>
      <w:r>
        <w:rPr>
          <w:rFonts w:ascii="Arial" w:eastAsia="Arial" w:hAnsi="Arial"/>
          <w:color w:val="000000"/>
          <w:sz w:val="17"/>
        </w:rPr>
        <w:t xml:space="preserve"> </w:t>
      </w:r>
    </w:p>
    <w:p w14:paraId="6BB23F1B" w14:textId="77777777" w:rsidR="005756F8" w:rsidRDefault="00E70759">
      <w:pPr>
        <w:spacing w:before="330"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w:t>
      </w:r>
      <w:r>
        <w:rPr>
          <w:rFonts w:ascii="Arial" w:eastAsia="Arial" w:hAnsi="Arial"/>
          <w:color w:val="000000"/>
          <w:spacing w:val="-4"/>
          <w:sz w:val="28"/>
        </w:rPr>
        <w:t>ime, the People are required to prove, from all of the evidence in the case, beyond a reasonable doubt, each of the following three elements:</w:t>
      </w:r>
    </w:p>
    <w:p w14:paraId="6BB23F1C" w14:textId="77777777" w:rsidR="005756F8" w:rsidRDefault="00E70759">
      <w:pPr>
        <w:numPr>
          <w:ilvl w:val="0"/>
          <w:numId w:val="1"/>
        </w:numPr>
        <w:tabs>
          <w:tab w:val="clear" w:pos="720"/>
          <w:tab w:val="left" w:pos="1440"/>
        </w:tabs>
        <w:spacing w:before="328" w:line="324" w:lineRule="exact"/>
        <w:ind w:left="1440" w:hanging="720"/>
        <w:jc w:val="both"/>
        <w:textAlignment w:val="baseline"/>
        <w:rPr>
          <w:rFonts w:ascii="Arial" w:eastAsia="Arial" w:hAnsi="Arial"/>
          <w:color w:val="000000"/>
          <w:spacing w:val="-2"/>
          <w:sz w:val="28"/>
        </w:rPr>
      </w:pPr>
      <w:r>
        <w:rPr>
          <w:rFonts w:ascii="Arial" w:eastAsia="Arial" w:hAnsi="Arial"/>
          <w:color w:val="000000"/>
          <w:spacing w:val="-2"/>
          <w:sz w:val="28"/>
        </w:rPr>
        <w:t xml:space="preserve">That on or about </w:t>
      </w:r>
      <w:r>
        <w:rPr>
          <w:rFonts w:ascii="Arial" w:eastAsia="Arial" w:hAnsi="Arial"/>
          <w:color w:val="000000"/>
          <w:spacing w:val="-2"/>
          <w:sz w:val="28"/>
          <w:u w:val="single"/>
        </w:rPr>
        <w:t xml:space="preserve"> (date) </w:t>
      </w:r>
      <w:r>
        <w:rPr>
          <w:rFonts w:ascii="Arial" w:eastAsia="Arial" w:hAnsi="Arial"/>
          <w:color w:val="000000"/>
          <w:spacing w:val="-2"/>
          <w:sz w:val="28"/>
        </w:rPr>
        <w:t xml:space="preserve"> , in the county of </w:t>
      </w:r>
      <w:r>
        <w:rPr>
          <w:rFonts w:ascii="Arial" w:eastAsia="Arial" w:hAnsi="Arial"/>
          <w:color w:val="000000"/>
          <w:spacing w:val="-2"/>
          <w:sz w:val="28"/>
          <w:u w:val="single"/>
        </w:rPr>
        <w:t xml:space="preserve"> (county) </w:t>
      </w:r>
      <w:r>
        <w:rPr>
          <w:rFonts w:ascii="Arial" w:eastAsia="Arial" w:hAnsi="Arial"/>
          <w:color w:val="000000"/>
          <w:spacing w:val="-2"/>
          <w:sz w:val="28"/>
        </w:rPr>
        <w:t xml:space="preserve"> , the defendant, </w:t>
      </w:r>
      <w:r>
        <w:rPr>
          <w:rFonts w:ascii="Arial" w:eastAsia="Arial" w:hAnsi="Arial"/>
          <w:color w:val="000000"/>
          <w:spacing w:val="-2"/>
          <w:sz w:val="28"/>
          <w:u w:val="single"/>
        </w:rPr>
        <w:t xml:space="preserve"> (defendant's name),</w:t>
      </w:r>
      <w:r>
        <w:rPr>
          <w:rFonts w:ascii="Arial" w:eastAsia="Arial" w:hAnsi="Arial"/>
          <w:color w:val="000000"/>
          <w:spacing w:val="-2"/>
          <w:sz w:val="28"/>
        </w:rPr>
        <w:t xml:space="preserve"> had possession or control of </w:t>
      </w:r>
      <w:r>
        <w:rPr>
          <w:rFonts w:ascii="Arial" w:eastAsia="Arial" w:hAnsi="Arial"/>
          <w:color w:val="000000"/>
          <w:spacing w:val="-2"/>
          <w:sz w:val="28"/>
          <w:u w:val="single"/>
        </w:rPr>
        <w:t>(</w:t>
      </w:r>
      <w:r>
        <w:rPr>
          <w:rFonts w:ascii="Arial" w:eastAsia="Arial" w:hAnsi="Arial"/>
          <w:i/>
          <w:color w:val="000000"/>
          <w:spacing w:val="-2"/>
          <w:sz w:val="28"/>
          <w:u w:val="single"/>
        </w:rPr>
        <w:t>specify)</w:t>
      </w:r>
      <w:r>
        <w:rPr>
          <w:rFonts w:ascii="Arial" w:eastAsia="Arial" w:hAnsi="Arial"/>
          <w:color w:val="000000"/>
          <w:spacing w:val="-2"/>
          <w:sz w:val="28"/>
          <w:u w:val="single"/>
        </w:rPr>
        <w:t>;</w:t>
      </w:r>
      <w:r>
        <w:rPr>
          <w:rFonts w:ascii="Arial" w:eastAsia="Arial" w:hAnsi="Arial"/>
          <w:color w:val="000000"/>
          <w:spacing w:val="-2"/>
          <w:sz w:val="28"/>
        </w:rPr>
        <w:t xml:space="preserve"> </w:t>
      </w:r>
    </w:p>
    <w:p w14:paraId="6BB23F1D" w14:textId="77777777" w:rsidR="005756F8" w:rsidRDefault="00E70759">
      <w:pPr>
        <w:numPr>
          <w:ilvl w:val="0"/>
          <w:numId w:val="1"/>
        </w:numPr>
        <w:tabs>
          <w:tab w:val="clear" w:pos="720"/>
          <w:tab w:val="left" w:pos="1440"/>
        </w:tabs>
        <w:spacing w:before="317" w:line="327"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defendant knew that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rPr>
        <w:t xml:space="preserve"> was being used for prostitution purposes; and</w:t>
      </w:r>
    </w:p>
    <w:p w14:paraId="6BB23F1E" w14:textId="772BA25E" w:rsidR="005756F8" w:rsidRDefault="00E70759">
      <w:pPr>
        <w:numPr>
          <w:ilvl w:val="0"/>
          <w:numId w:val="1"/>
        </w:numPr>
        <w:tabs>
          <w:tab w:val="clear" w:pos="720"/>
          <w:tab w:val="left" w:pos="1440"/>
        </w:tabs>
        <w:spacing w:before="317" w:line="326"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failed to make reasonable effort to halt or abate such use.</w:t>
      </w:r>
    </w:p>
    <w:p w14:paraId="6000DBD2" w14:textId="77777777" w:rsidR="00996A12" w:rsidRDefault="00996A12" w:rsidP="00996A12">
      <w:pPr>
        <w:tabs>
          <w:tab w:val="left" w:pos="720"/>
          <w:tab w:val="left" w:pos="1440"/>
        </w:tabs>
        <w:spacing w:before="317" w:line="326" w:lineRule="exact"/>
        <w:ind w:left="1440"/>
        <w:jc w:val="both"/>
        <w:textAlignment w:val="baseline"/>
        <w:rPr>
          <w:rFonts w:ascii="Arial" w:eastAsia="Arial" w:hAnsi="Arial"/>
          <w:color w:val="000000"/>
          <w:sz w:val="28"/>
        </w:rPr>
      </w:pPr>
    </w:p>
    <w:p w14:paraId="021F36AA" w14:textId="77777777" w:rsidR="006B797F" w:rsidRDefault="00E70759" w:rsidP="006B797F">
      <w:pPr>
        <w:spacing w:before="2" w:after="11692"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r w:rsidR="006B797F" w:rsidRPr="006B797F">
        <w:rPr>
          <w:rFonts w:ascii="Arial" w:eastAsia="Arial" w:hAnsi="Arial"/>
          <w:color w:val="000000"/>
          <w:sz w:val="28"/>
        </w:rPr>
        <w:t xml:space="preserve"> </w:t>
      </w:r>
    </w:p>
    <w:p w14:paraId="1DB65DD3" w14:textId="0FC80BB8" w:rsidR="00996A12" w:rsidRPr="00E70759" w:rsidRDefault="006B797F" w:rsidP="00E70759">
      <w:pPr>
        <w:ind w:firstLine="720"/>
        <w:jc w:val="both"/>
        <w:rPr>
          <w:rFonts w:ascii="Arial" w:hAnsi="Arial" w:cs="Arial"/>
          <w:sz w:val="28"/>
          <w:szCs w:val="28"/>
        </w:rPr>
      </w:pPr>
      <w:r w:rsidRPr="00E70759">
        <w:rPr>
          <w:rFonts w:ascii="Arial" w:hAnsi="Arial" w:cs="Arial"/>
          <w:sz w:val="28"/>
          <w:szCs w:val="28"/>
        </w:rPr>
        <w:lastRenderedPageBreak/>
        <w:t>If you find the People have not proven beyond a reasonable doubt any one or more of those elements, you must find the defendant not guilty of this crime.</w:t>
      </w:r>
    </w:p>
    <w:p w14:paraId="08765DC0" w14:textId="3FF7424D" w:rsidR="00E70759" w:rsidRDefault="00E70759" w:rsidP="00E70759"/>
    <w:p w14:paraId="0BB75C9E" w14:textId="2AD44586" w:rsidR="00E70759" w:rsidRPr="00E70759" w:rsidRDefault="00E70759" w:rsidP="00E70759">
      <w:r>
        <w:t>_________</w:t>
      </w:r>
    </w:p>
    <w:p w14:paraId="23EB6AEA" w14:textId="2BA2C042" w:rsidR="00224B8F" w:rsidRPr="00224B8F" w:rsidRDefault="00E70759" w:rsidP="00E70759">
      <w:pPr>
        <w:spacing w:before="2" w:after="11692"/>
        <w:ind w:firstLine="720"/>
        <w:jc w:val="both"/>
        <w:textAlignment w:val="baseline"/>
        <w:rPr>
          <w:rFonts w:ascii="Arial" w:eastAsiaTheme="minorEastAsia" w:hAnsi="Arial" w:cs="Arial"/>
          <w:sz w:val="20"/>
          <w:szCs w:val="20"/>
        </w:rPr>
      </w:pPr>
      <w:r>
        <w:pict w14:anchorId="6BB23F25">
          <v:line id="_x0000_s1026" style="position:absolute;left:0;text-align:left;z-index:251657728;mso-position-horizontal-relative:page;mso-position-vertical-relative:page" from="108pt,693.1pt" to="252.05pt,693.1pt" strokeweight="1.2pt">
            <w10:wrap anchorx="page" anchory="page"/>
          </v:line>
        </w:pict>
      </w:r>
      <w:r>
        <w:rPr>
          <w:rFonts w:ascii="Arial" w:eastAsia="Arial" w:hAnsi="Arial"/>
          <w:color w:val="000000"/>
          <w:spacing w:val="-2"/>
          <w:sz w:val="16"/>
          <w:vertAlign w:val="superscript"/>
        </w:rPr>
        <w:t>1</w:t>
      </w:r>
      <w:r>
        <w:rPr>
          <w:rFonts w:ascii="Arial" w:eastAsia="Arial" w:hAnsi="Arial"/>
          <w:color w:val="000000"/>
          <w:spacing w:val="-2"/>
          <w:sz w:val="26"/>
        </w:rPr>
        <w:t xml:space="preserve"> </w:t>
      </w:r>
      <w:r w:rsidRPr="00224B8F">
        <w:rPr>
          <w:rFonts w:ascii="Arial" w:eastAsia="Arial" w:hAnsi="Arial"/>
          <w:color w:val="000000"/>
          <w:spacing w:val="-2"/>
          <w:sz w:val="20"/>
          <w:szCs w:val="20"/>
        </w:rPr>
        <w:t>Penal Law § 230.00.</w:t>
      </w:r>
      <w:r w:rsidR="00224B8F">
        <w:rPr>
          <w:rFonts w:ascii="Arial" w:eastAsia="Arial" w:hAnsi="Arial"/>
          <w:color w:val="000000"/>
          <w:spacing w:val="-2"/>
          <w:sz w:val="20"/>
          <w:szCs w:val="20"/>
        </w:rPr>
        <w:t xml:space="preserve"> </w:t>
      </w:r>
      <w:r w:rsidR="00224B8F" w:rsidRPr="00224B8F">
        <w:rPr>
          <w:rFonts w:ascii="Arial" w:eastAsiaTheme="minorEastAsia"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224B8F" w:rsidRPr="00224B8F">
        <w:rPr>
          <w:rFonts w:ascii="Arial" w:eastAsiaTheme="minorEastAsia" w:hAnsi="Arial" w:cs="Arial"/>
          <w:i/>
          <w:iCs/>
          <w:sz w:val="20"/>
          <w:szCs w:val="20"/>
        </w:rPr>
        <w:t>See Prus v. Holder</w:t>
      </w:r>
      <w:r w:rsidR="00224B8F" w:rsidRPr="00224B8F">
        <w:rPr>
          <w:rFonts w:ascii="Arial" w:eastAsiaTheme="minorEastAsia"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224B8F" w:rsidRPr="00224B8F">
        <w:rPr>
          <w:rFonts w:ascii="Arial" w:eastAsiaTheme="minorEastAsia" w:hAnsi="Arial" w:cs="Arial"/>
          <w:i/>
          <w:sz w:val="20"/>
          <w:szCs w:val="20"/>
        </w:rPr>
        <w:t>see In re Marco M</w:t>
      </w:r>
      <w:r w:rsidR="00224B8F" w:rsidRPr="00224B8F">
        <w:rPr>
          <w:rFonts w:ascii="Arial" w:eastAsiaTheme="minorEastAsia" w:hAnsi="Arial" w:cs="Arial"/>
          <w:sz w:val="20"/>
          <w:szCs w:val="20"/>
        </w:rPr>
        <w:t>., 158 A.D.2d 342, 342–43 (1990) (the required element of sexual conduct was satisfied where the defendant</w:t>
      </w:r>
      <w:r w:rsidR="00224B8F" w:rsidRPr="00224B8F">
        <w:rPr>
          <w:rFonts w:ascii="Arial" w:eastAsiaTheme="minorEastAsia" w:hAnsi="Arial" w:cs="Arial"/>
          <w:color w:val="00B050"/>
          <w:sz w:val="20"/>
          <w:szCs w:val="20"/>
        </w:rPr>
        <w:t xml:space="preserve"> </w:t>
      </w:r>
      <w:r w:rsidR="00224B8F" w:rsidRPr="00224B8F">
        <w:rPr>
          <w:rFonts w:ascii="Arial" w:eastAsiaTheme="minorEastAsia" w:hAnsi="Arial" w:cs="Arial"/>
          <w:sz w:val="20"/>
          <w:szCs w:val="20"/>
        </w:rPr>
        <w:t xml:space="preserve">said he wanted “to get laid but [not] shortchanged”); </w:t>
      </w:r>
      <w:r w:rsidR="00224B8F" w:rsidRPr="00224B8F">
        <w:rPr>
          <w:rFonts w:ascii="Arial" w:eastAsiaTheme="minorEastAsia" w:hAnsi="Arial" w:cs="Arial"/>
          <w:i/>
          <w:sz w:val="20"/>
          <w:szCs w:val="20"/>
        </w:rPr>
        <w:t xml:space="preserve">People v. Medina, </w:t>
      </w:r>
      <w:r w:rsidR="00224B8F" w:rsidRPr="00224B8F">
        <w:rPr>
          <w:rFonts w:ascii="Arial" w:eastAsiaTheme="minorEastAsia" w:hAnsi="Arial" w:cs="Arial"/>
          <w:sz w:val="20"/>
          <w:szCs w:val="20"/>
        </w:rPr>
        <w:t xml:space="preserve">179 Misc.2d 617 (Cr Court, NY County 1999) (“sexual conduct” includes a sex act between men); </w:t>
      </w:r>
      <w:r w:rsidR="00224B8F" w:rsidRPr="00224B8F">
        <w:rPr>
          <w:rFonts w:ascii="Arial" w:eastAsiaTheme="minorEastAsia" w:hAnsi="Arial" w:cs="Arial"/>
          <w:i/>
          <w:sz w:val="20"/>
          <w:szCs w:val="20"/>
        </w:rPr>
        <w:t>People v. Hinzmann</w:t>
      </w:r>
      <w:r w:rsidR="00224B8F" w:rsidRPr="00224B8F">
        <w:rPr>
          <w:rFonts w:ascii="Arial" w:eastAsiaTheme="minorEastAsia" w:hAnsi="Arial" w:cs="Arial"/>
          <w:sz w:val="20"/>
          <w:szCs w:val="20"/>
        </w:rPr>
        <w:t xml:space="preserve">, 177 Misc.2d 531 (Cr Ct, Bronx County, 1998) (the term includes “lap dancing” with physical contact); </w:t>
      </w:r>
      <w:r w:rsidR="00224B8F" w:rsidRPr="00224B8F">
        <w:rPr>
          <w:rFonts w:ascii="Arial" w:eastAsiaTheme="minorEastAsia" w:hAnsi="Arial" w:cs="Arial"/>
          <w:i/>
          <w:sz w:val="20"/>
          <w:szCs w:val="20"/>
        </w:rPr>
        <w:t xml:space="preserve">People v. Costello, </w:t>
      </w:r>
      <w:r w:rsidR="00224B8F" w:rsidRPr="00224B8F">
        <w:rPr>
          <w:rFonts w:ascii="Arial" w:eastAsiaTheme="minorEastAsia" w:hAnsi="Arial" w:cs="Arial"/>
          <w:sz w:val="20"/>
          <w:szCs w:val="20"/>
        </w:rPr>
        <w:t xml:space="preserve">90 Misc.2d 431 (Sup Ct, NY County, 1977) </w:t>
      </w:r>
      <w:r w:rsidR="00224B8F" w:rsidRPr="00224B8F">
        <w:rPr>
          <w:rFonts w:ascii="Arial" w:eastAsiaTheme="minorEastAsia" w:hAnsi="Arial" w:cs="Arial"/>
          <w:i/>
          <w:sz w:val="20"/>
          <w:szCs w:val="20"/>
        </w:rPr>
        <w:t>(</w:t>
      </w:r>
      <w:r w:rsidR="00224B8F" w:rsidRPr="00224B8F">
        <w:rPr>
          <w:rFonts w:ascii="Arial" w:eastAsiaTheme="minorEastAsia" w:hAnsi="Arial" w:cs="Arial"/>
          <w:sz w:val="20"/>
          <w:szCs w:val="20"/>
        </w:rPr>
        <w:t xml:space="preserve">the term includes sexual intercourse, oral and anal sexual conduct, and masturbation). </w:t>
      </w:r>
      <w:r w:rsidR="00224B8F" w:rsidRPr="00224B8F">
        <w:rPr>
          <w:rFonts w:ascii="Arial" w:eastAsiaTheme="minorEastAsia" w:hAnsi="Arial" w:cs="Arial"/>
          <w:i/>
          <w:sz w:val="20"/>
          <w:szCs w:val="20"/>
        </w:rPr>
        <w:t xml:space="preserve">But see People v. Greene, </w:t>
      </w:r>
      <w:r w:rsidR="00224B8F" w:rsidRPr="00224B8F">
        <w:rPr>
          <w:rFonts w:ascii="Arial" w:eastAsiaTheme="minorEastAsia" w:hAnsi="Arial" w:cs="Arial"/>
          <w:sz w:val="20"/>
          <w:szCs w:val="20"/>
        </w:rPr>
        <w:t xml:space="preserve">110 Misc.2d 40 (Cr Ct, NY County, 1981) (the term does not include “autoerotic performance” without physical contact). The term "deviate sexual intercourse" used in </w:t>
      </w:r>
      <w:r w:rsidR="00224B8F" w:rsidRPr="00224B8F">
        <w:rPr>
          <w:rFonts w:ascii="Arial" w:eastAsiaTheme="minorEastAsia" w:hAnsi="Arial" w:cs="Arial"/>
          <w:i/>
          <w:iCs/>
          <w:sz w:val="20"/>
          <w:szCs w:val="20"/>
        </w:rPr>
        <w:t>Costello</w:t>
      </w:r>
      <w:r w:rsidR="00224B8F" w:rsidRPr="00224B8F">
        <w:rPr>
          <w:rFonts w:ascii="Arial" w:eastAsiaTheme="minorEastAsia" w:hAnsi="Arial" w:cs="Arial"/>
          <w:sz w:val="20"/>
          <w:szCs w:val="20"/>
        </w:rPr>
        <w:t xml:space="preserve"> has since been repealed and under the current statutes refers to "oral" or "anal" sexual conduct [Penal Law § 130.00 (2) (a) and (b)].</w:t>
      </w:r>
    </w:p>
    <w:p w14:paraId="6BB23F21" w14:textId="77777777" w:rsidR="005756F8" w:rsidRDefault="005756F8">
      <w:pPr>
        <w:sectPr w:rsidR="005756F8">
          <w:pgSz w:w="12240" w:h="15840"/>
          <w:pgMar w:top="1440" w:right="2140" w:bottom="984" w:left="2160" w:header="720" w:footer="720" w:gutter="0"/>
          <w:cols w:space="720"/>
        </w:sectPr>
      </w:pPr>
    </w:p>
    <w:p w14:paraId="6BB23F22" w14:textId="77777777" w:rsidR="005756F8" w:rsidRDefault="00E70759">
      <w:pPr>
        <w:spacing w:before="2" w:after="11692" w:line="326" w:lineRule="exact"/>
        <w:ind w:firstLine="720"/>
        <w:jc w:val="both"/>
        <w:textAlignment w:val="baseline"/>
        <w:rPr>
          <w:rFonts w:ascii="Arial" w:eastAsia="Arial" w:hAnsi="Arial"/>
          <w:color w:val="000000"/>
          <w:sz w:val="28"/>
        </w:rPr>
      </w:pPr>
      <w:bookmarkStart w:id="0" w:name="_Hlk55911449"/>
      <w:r>
        <w:rPr>
          <w:rFonts w:ascii="Arial" w:eastAsia="Arial" w:hAnsi="Arial"/>
          <w:color w:val="000000"/>
          <w:sz w:val="28"/>
        </w:rPr>
        <w:lastRenderedPageBreak/>
        <w:t>If you find the People have not proven beyond a reasonable doubt any one or more of those elements, you must find the defendant not guilty of this crime.</w:t>
      </w:r>
    </w:p>
    <w:bookmarkEnd w:id="0"/>
    <w:p w14:paraId="6BB23F23" w14:textId="77777777" w:rsidR="005756F8" w:rsidRDefault="005756F8">
      <w:pPr>
        <w:spacing w:before="2" w:after="11692" w:line="326" w:lineRule="exact"/>
        <w:sectPr w:rsidR="005756F8">
          <w:pgSz w:w="12240" w:h="15840"/>
          <w:pgMar w:top="1440" w:right="2147" w:bottom="1024" w:left="2153" w:header="720" w:footer="720" w:gutter="0"/>
          <w:cols w:space="720"/>
        </w:sectPr>
      </w:pPr>
    </w:p>
    <w:p w14:paraId="6BB23F24" w14:textId="77777777" w:rsidR="005756F8" w:rsidRDefault="00E70759">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sectPr w:rsidR="005756F8">
      <w:type w:val="continuous"/>
      <w:pgSz w:w="12240" w:h="15840"/>
      <w:pgMar w:top="1440" w:right="2150" w:bottom="1024"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A7F4B"/>
    <w:multiLevelType w:val="multilevel"/>
    <w:tmpl w:val="49F22CA8"/>
    <w:lvl w:ilvl="0">
      <w:start w:val="1"/>
      <w:numFmt w:val="decimal"/>
      <w:lvlText w:val="%1."/>
      <w:lvlJc w:val="left"/>
      <w:pPr>
        <w:tabs>
          <w:tab w:val="left" w:pos="720"/>
        </w:tabs>
      </w:pPr>
      <w:rPr>
        <w:rFonts w:ascii="Arial" w:eastAsia="Arial" w:hAnsi="Arial"/>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756F8"/>
    <w:rsid w:val="00224B8F"/>
    <w:rsid w:val="00283C1A"/>
    <w:rsid w:val="005756F8"/>
    <w:rsid w:val="006B797F"/>
    <w:rsid w:val="006E59BF"/>
    <w:rsid w:val="00996A12"/>
    <w:rsid w:val="00E7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23F16"/>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7</cp:revision>
  <dcterms:created xsi:type="dcterms:W3CDTF">2020-11-10T19:34:00Z</dcterms:created>
  <dcterms:modified xsi:type="dcterms:W3CDTF">2020-11-10T19:39:00Z</dcterms:modified>
</cp:coreProperties>
</file>