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37F3" w14:textId="50B63770" w:rsidR="00532B1D" w:rsidRDefault="003E148F">
      <w:pPr>
        <w:spacing w:before="4" w:line="331" w:lineRule="exact"/>
        <w:jc w:val="center"/>
        <w:textAlignment w:val="baseline"/>
        <w:rPr>
          <w:rFonts w:ascii="Arial" w:eastAsia="Arial" w:hAnsi="Arial"/>
          <w:b/>
          <w:color w:val="000000"/>
          <w:sz w:val="28"/>
        </w:rPr>
      </w:pPr>
      <w:r>
        <w:rPr>
          <w:rFonts w:ascii="Arial" w:eastAsia="Arial" w:hAnsi="Arial"/>
          <w:b/>
          <w:color w:val="000000"/>
          <w:sz w:val="28"/>
        </w:rPr>
        <w:t xml:space="preserve">PROMOTING PROSTITUTION IN THE FOURTH DEGREE </w:t>
      </w:r>
      <w:r>
        <w:rPr>
          <w:rFonts w:ascii="Arial" w:eastAsia="Arial" w:hAnsi="Arial"/>
          <w:b/>
          <w:color w:val="000000"/>
          <w:sz w:val="28"/>
        </w:rPr>
        <w:br/>
        <w:t xml:space="preserve">(Advance or Profit) </w:t>
      </w:r>
      <w:r>
        <w:rPr>
          <w:rFonts w:ascii="Arial" w:eastAsia="Arial" w:hAnsi="Arial"/>
          <w:b/>
          <w:color w:val="000000"/>
          <w:sz w:val="28"/>
        </w:rPr>
        <w:br/>
        <w:t xml:space="preserve">Penal Law § 230.20(1) </w:t>
      </w:r>
      <w:r>
        <w:rPr>
          <w:rFonts w:ascii="Arial" w:eastAsia="Arial" w:hAnsi="Arial"/>
          <w:b/>
          <w:color w:val="000000"/>
          <w:sz w:val="28"/>
        </w:rPr>
        <w:br/>
        <w:t>(Committed on or after January 19, 2016)</w:t>
      </w:r>
    </w:p>
    <w:p w14:paraId="1C1937F4" w14:textId="77777777" w:rsidR="00532B1D" w:rsidRDefault="003E148F">
      <w:pPr>
        <w:spacing w:before="323"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Promoting Prostitution in the Fourth Degree.</w:t>
      </w:r>
    </w:p>
    <w:p w14:paraId="1C1937F5" w14:textId="77777777" w:rsidR="00532B1D" w:rsidRDefault="003E148F">
      <w:pPr>
        <w:spacing w:before="329"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Promoting Prostitution in the Fourth Degree when that person knowingly advances or profits from prostitution.</w:t>
      </w:r>
    </w:p>
    <w:p w14:paraId="1C1937F6" w14:textId="77777777" w:rsidR="00532B1D" w:rsidRDefault="003E148F">
      <w:pPr>
        <w:spacing w:before="321"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1C1937F7" w14:textId="2FF5CB7F" w:rsidR="00532B1D" w:rsidRDefault="003E148F">
      <w:pPr>
        <w:spacing w:before="318" w:line="324" w:lineRule="exact"/>
        <w:ind w:firstLine="720"/>
        <w:jc w:val="both"/>
        <w:textAlignment w:val="baseline"/>
        <w:rPr>
          <w:rFonts w:ascii="Arial" w:eastAsia="Arial" w:hAnsi="Arial"/>
          <w:color w:val="000000"/>
          <w:sz w:val="28"/>
        </w:rPr>
      </w:pPr>
      <w:r>
        <w:rPr>
          <w:rFonts w:ascii="Arial" w:eastAsia="Arial" w:hAnsi="Arial"/>
          <w:color w:val="000000"/>
          <w:sz w:val="28"/>
        </w:rPr>
        <w:t>PROSTITUTION means the act or practice of engaging, or agreeing or offering to engage in sexual conduct</w:t>
      </w:r>
      <w:r w:rsidR="000B40A1" w:rsidRPr="00A81CD0">
        <w:rPr>
          <w:rFonts w:ascii="Arial" w:eastAsia="Arial" w:hAnsi="Arial"/>
          <w:color w:val="000000"/>
          <w:sz w:val="28"/>
          <w:vertAlign w:val="superscript"/>
        </w:rPr>
        <w:t>1</w:t>
      </w:r>
      <w:r w:rsidR="000B40A1" w:rsidRPr="00A81CD0">
        <w:rPr>
          <w:rFonts w:ascii="Arial" w:eastAsia="Arial" w:hAnsi="Arial"/>
          <w:color w:val="000000"/>
          <w:sz w:val="17"/>
          <w:vertAlign w:val="superscript"/>
        </w:rPr>
        <w:t xml:space="preserve"> </w:t>
      </w:r>
      <w:r>
        <w:rPr>
          <w:rFonts w:ascii="Arial" w:eastAsia="Arial" w:hAnsi="Arial"/>
          <w:color w:val="000000"/>
          <w:sz w:val="28"/>
        </w:rPr>
        <w:t>with another person in return for a fee.</w:t>
      </w:r>
      <w:r w:rsidRPr="00A81CD0">
        <w:rPr>
          <w:rFonts w:ascii="Arial" w:eastAsia="Arial" w:hAnsi="Arial"/>
          <w:color w:val="000000"/>
          <w:sz w:val="17"/>
          <w:vertAlign w:val="superscript"/>
        </w:rPr>
        <w:t xml:space="preserve"> </w:t>
      </w:r>
    </w:p>
    <w:p w14:paraId="5CB77599" w14:textId="2020DC67" w:rsidR="00EA1E70" w:rsidRDefault="003E148F" w:rsidP="00EA1E70">
      <w:pPr>
        <w:pBdr>
          <w:bottom w:val="single" w:sz="12" w:space="1" w:color="auto"/>
        </w:pBdr>
        <w:spacing w:before="100" w:beforeAutospacing="1"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A person ADVANCES PROSTITUTION when, acting other than as a person in prostitution or as a patron thereof, he or she knowingly causes or aids a person to commit or engage in prostitution, procures or solicits patrons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p>
    <w:p w14:paraId="0C0E36BD" w14:textId="635C4C0A" w:rsidR="00454738" w:rsidRPr="00454738" w:rsidRDefault="00A81CD0" w:rsidP="00EA1E70">
      <w:pPr>
        <w:spacing w:before="100" w:beforeAutospacing="1"/>
        <w:jc w:val="both"/>
        <w:rPr>
          <w:rFonts w:ascii="Arial" w:eastAsiaTheme="minorEastAsia" w:hAnsi="Arial" w:cs="Arial"/>
          <w:sz w:val="20"/>
          <w:szCs w:val="20"/>
        </w:rPr>
      </w:pPr>
      <w:r>
        <w:rPr>
          <w:rFonts w:ascii="Arial" w:eastAsia="Arial" w:hAnsi="Arial"/>
          <w:color w:val="000000"/>
          <w:sz w:val="20"/>
          <w:szCs w:val="20"/>
          <w:vertAlign w:val="superscript"/>
        </w:rPr>
        <w:t>1</w:t>
      </w:r>
      <w:r w:rsidR="003E148F" w:rsidRPr="00A81CD0">
        <w:rPr>
          <w:rFonts w:ascii="Arial" w:eastAsia="Arial" w:hAnsi="Arial"/>
          <w:color w:val="000000"/>
          <w:sz w:val="20"/>
          <w:szCs w:val="20"/>
        </w:rPr>
        <w:t xml:space="preserve"> Penal Law § 230.00.</w:t>
      </w:r>
      <w:r w:rsidR="00D63A4D">
        <w:rPr>
          <w:rFonts w:ascii="Arial" w:eastAsia="Arial" w:hAnsi="Arial"/>
          <w:color w:val="000000"/>
          <w:sz w:val="24"/>
        </w:rPr>
        <w:t xml:space="preserve">  </w:t>
      </w:r>
      <w:r w:rsidR="00454738" w:rsidRPr="00454738">
        <w:rPr>
          <w:rFonts w:ascii="Arial" w:eastAsiaTheme="minorEastAsia" w:hAnsi="Arial" w:cs="Arial"/>
          <w:sz w:val="20"/>
          <w:szCs w:val="20"/>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454738" w:rsidRPr="00454738">
        <w:rPr>
          <w:rFonts w:ascii="Arial" w:eastAsiaTheme="minorEastAsia" w:hAnsi="Arial" w:cs="Arial"/>
          <w:i/>
          <w:iCs/>
          <w:sz w:val="20"/>
          <w:szCs w:val="20"/>
        </w:rPr>
        <w:t>See Prus v. Holder</w:t>
      </w:r>
      <w:r w:rsidR="00454738" w:rsidRPr="00454738">
        <w:rPr>
          <w:rFonts w:ascii="Arial" w:eastAsiaTheme="minorEastAsia" w:hAnsi="Arial" w:cs="Arial"/>
          <w:sz w:val="20"/>
          <w:szCs w:val="20"/>
        </w:rPr>
        <w:t xml:space="preserve">, 660 F.3d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00454738" w:rsidRPr="00454738">
        <w:rPr>
          <w:rFonts w:ascii="Arial" w:eastAsiaTheme="minorEastAsia" w:hAnsi="Arial" w:cs="Arial"/>
          <w:i/>
          <w:sz w:val="20"/>
          <w:szCs w:val="20"/>
        </w:rPr>
        <w:t>see In re Marco M</w:t>
      </w:r>
      <w:r w:rsidR="00454738" w:rsidRPr="00454738">
        <w:rPr>
          <w:rFonts w:ascii="Arial" w:eastAsiaTheme="minorEastAsia" w:hAnsi="Arial" w:cs="Arial"/>
          <w:sz w:val="20"/>
          <w:szCs w:val="20"/>
        </w:rPr>
        <w:t>., 158 A.D.2d 342, 342–43 (1990) (the required element of sexual conduct was satisfied where the defendant</w:t>
      </w:r>
      <w:r w:rsidR="00454738" w:rsidRPr="00454738">
        <w:rPr>
          <w:rFonts w:ascii="Arial" w:eastAsiaTheme="minorEastAsia" w:hAnsi="Arial" w:cs="Arial"/>
          <w:color w:val="00B050"/>
          <w:sz w:val="24"/>
          <w:szCs w:val="24"/>
        </w:rPr>
        <w:t xml:space="preserve"> </w:t>
      </w:r>
      <w:r w:rsidR="00454738" w:rsidRPr="00454738">
        <w:rPr>
          <w:rFonts w:ascii="Arial" w:eastAsiaTheme="minorEastAsia" w:hAnsi="Arial" w:cs="Arial"/>
          <w:sz w:val="20"/>
          <w:szCs w:val="20"/>
        </w:rPr>
        <w:t xml:space="preserve">said he wanted “to get laid but [not] shortchanged”); </w:t>
      </w:r>
      <w:r w:rsidR="00454738" w:rsidRPr="00454738">
        <w:rPr>
          <w:rFonts w:ascii="Arial" w:eastAsiaTheme="minorEastAsia" w:hAnsi="Arial" w:cs="Arial"/>
          <w:i/>
          <w:sz w:val="20"/>
          <w:szCs w:val="20"/>
        </w:rPr>
        <w:t xml:space="preserve">People v. Medina, </w:t>
      </w:r>
      <w:r w:rsidR="00454738" w:rsidRPr="00454738">
        <w:rPr>
          <w:rFonts w:ascii="Arial" w:eastAsiaTheme="minorEastAsia" w:hAnsi="Arial" w:cs="Arial"/>
          <w:sz w:val="20"/>
          <w:szCs w:val="20"/>
        </w:rPr>
        <w:t xml:space="preserve">179 Misc.2d 617 (Cr Court, NY County 1999) (“sexual conduct” includes a sex act between men); </w:t>
      </w:r>
      <w:r w:rsidR="00454738" w:rsidRPr="00454738">
        <w:rPr>
          <w:rFonts w:ascii="Arial" w:eastAsiaTheme="minorEastAsia" w:hAnsi="Arial" w:cs="Arial"/>
          <w:i/>
          <w:sz w:val="20"/>
          <w:szCs w:val="20"/>
        </w:rPr>
        <w:t>People v. Hinzmann</w:t>
      </w:r>
      <w:r w:rsidR="00454738" w:rsidRPr="00454738">
        <w:rPr>
          <w:rFonts w:ascii="Arial" w:eastAsiaTheme="minorEastAsia" w:hAnsi="Arial" w:cs="Arial"/>
          <w:sz w:val="20"/>
          <w:szCs w:val="20"/>
        </w:rPr>
        <w:t xml:space="preserve">, 177 Misc.2d 531 (Cr Ct, Bronx County, 1998) (the term includes “lap dancing” with physical contact); </w:t>
      </w:r>
      <w:r w:rsidR="00454738" w:rsidRPr="00454738">
        <w:rPr>
          <w:rFonts w:ascii="Arial" w:eastAsiaTheme="minorEastAsia" w:hAnsi="Arial" w:cs="Arial"/>
          <w:i/>
          <w:sz w:val="20"/>
          <w:szCs w:val="20"/>
        </w:rPr>
        <w:t xml:space="preserve">People v. Costello, </w:t>
      </w:r>
      <w:r w:rsidR="00454738" w:rsidRPr="00454738">
        <w:rPr>
          <w:rFonts w:ascii="Arial" w:eastAsiaTheme="minorEastAsia" w:hAnsi="Arial" w:cs="Arial"/>
          <w:sz w:val="20"/>
          <w:szCs w:val="20"/>
        </w:rPr>
        <w:t xml:space="preserve">90 Misc.2d 431 (Sup Ct, NY County, 1977) </w:t>
      </w:r>
      <w:r w:rsidR="00454738" w:rsidRPr="00454738">
        <w:rPr>
          <w:rFonts w:ascii="Arial" w:eastAsiaTheme="minorEastAsia" w:hAnsi="Arial" w:cs="Arial"/>
          <w:i/>
          <w:sz w:val="20"/>
          <w:szCs w:val="20"/>
        </w:rPr>
        <w:t>(</w:t>
      </w:r>
      <w:r w:rsidR="00454738" w:rsidRPr="00454738">
        <w:rPr>
          <w:rFonts w:ascii="Arial" w:eastAsiaTheme="minorEastAsia" w:hAnsi="Arial" w:cs="Arial"/>
          <w:sz w:val="20"/>
          <w:szCs w:val="20"/>
        </w:rPr>
        <w:t xml:space="preserve">the term includes sexual intercourse, oral and anal sexual conduct, and masturbation). </w:t>
      </w:r>
      <w:r w:rsidR="00454738" w:rsidRPr="00454738">
        <w:rPr>
          <w:rFonts w:ascii="Arial" w:eastAsiaTheme="minorEastAsia" w:hAnsi="Arial" w:cs="Arial"/>
          <w:i/>
          <w:sz w:val="20"/>
          <w:szCs w:val="20"/>
        </w:rPr>
        <w:t xml:space="preserve">But see People v. Greene, </w:t>
      </w:r>
      <w:r w:rsidR="00454738" w:rsidRPr="00454738">
        <w:rPr>
          <w:rFonts w:ascii="Arial" w:eastAsiaTheme="minorEastAsia" w:hAnsi="Arial" w:cs="Arial"/>
          <w:sz w:val="20"/>
          <w:szCs w:val="20"/>
        </w:rPr>
        <w:t xml:space="preserve">110 Misc.2d 40 (Cr Ct, NY County, 1981) (the term does not include “autoerotic performance” without physical contact). The term "deviate sexual intercourse" used in </w:t>
      </w:r>
      <w:r w:rsidR="00454738" w:rsidRPr="00454738">
        <w:rPr>
          <w:rFonts w:ascii="Arial" w:eastAsiaTheme="minorEastAsia" w:hAnsi="Arial" w:cs="Arial"/>
          <w:i/>
          <w:iCs/>
          <w:sz w:val="20"/>
          <w:szCs w:val="20"/>
        </w:rPr>
        <w:t>Costello</w:t>
      </w:r>
      <w:r w:rsidR="00454738" w:rsidRPr="00454738">
        <w:rPr>
          <w:rFonts w:ascii="Arial" w:eastAsiaTheme="minorEastAsia" w:hAnsi="Arial" w:cs="Arial"/>
          <w:sz w:val="20"/>
          <w:szCs w:val="20"/>
        </w:rPr>
        <w:t xml:space="preserve"> has since been repealed and under the current statutes refers to "oral" or "anal" sexual conduct [Penal Law § 130.00 (2) (a) and (b)].</w:t>
      </w:r>
    </w:p>
    <w:p w14:paraId="1C1937FD" w14:textId="77777777" w:rsidR="00532B1D" w:rsidRDefault="003E148F">
      <w:pPr>
        <w:spacing w:before="1"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lastRenderedPageBreak/>
        <w:t>A person PROFITS FROM PROSTITUTION when, acting other than as a person in prostitution receiving compensation for personally rendered prostitution services, he or she accepts or receives money or other property pursuant to an agreement or understanding with any person whereby he or she participates or is to participate in the proceeds of prostitution activity.</w:t>
      </w:r>
      <w:r>
        <w:rPr>
          <w:rFonts w:ascii="Arial" w:eastAsia="Arial" w:hAnsi="Arial"/>
          <w:color w:val="000000"/>
          <w:spacing w:val="-2"/>
          <w:sz w:val="28"/>
          <w:vertAlign w:val="superscript"/>
        </w:rPr>
        <w:t>4</w:t>
      </w:r>
      <w:r>
        <w:rPr>
          <w:rFonts w:ascii="Arial" w:eastAsia="Arial" w:hAnsi="Arial"/>
          <w:color w:val="000000"/>
          <w:spacing w:val="-2"/>
          <w:sz w:val="17"/>
        </w:rPr>
        <w:t xml:space="preserve"> </w:t>
      </w:r>
    </w:p>
    <w:p w14:paraId="1C1937FE" w14:textId="77777777" w:rsidR="00532B1D" w:rsidRDefault="003E148F">
      <w:pPr>
        <w:spacing w:before="332" w:line="320"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KNOWINGLY advances or profits from prostitution when that person is aware that he or she is advancing or profiting from prostitution.</w:t>
      </w:r>
      <w:r>
        <w:rPr>
          <w:rFonts w:ascii="Arial" w:eastAsia="Arial" w:hAnsi="Arial"/>
          <w:color w:val="000000"/>
          <w:spacing w:val="-4"/>
          <w:sz w:val="28"/>
          <w:vertAlign w:val="superscript"/>
        </w:rPr>
        <w:t>5</w:t>
      </w:r>
      <w:r>
        <w:rPr>
          <w:rFonts w:ascii="Arial" w:eastAsia="Arial" w:hAnsi="Arial"/>
          <w:color w:val="000000"/>
          <w:spacing w:val="-4"/>
          <w:sz w:val="17"/>
        </w:rPr>
        <w:t xml:space="preserve"> </w:t>
      </w:r>
    </w:p>
    <w:p w14:paraId="1C1937FF" w14:textId="77777777" w:rsidR="00532B1D" w:rsidRDefault="003E148F">
      <w:pPr>
        <w:spacing w:before="331"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two elements:</w:t>
      </w:r>
    </w:p>
    <w:p w14:paraId="1C193800" w14:textId="0F9D29A1" w:rsidR="00532B1D" w:rsidRDefault="003E148F">
      <w:pPr>
        <w:numPr>
          <w:ilvl w:val="0"/>
          <w:numId w:val="1"/>
        </w:numPr>
        <w:tabs>
          <w:tab w:val="clear" w:pos="720"/>
          <w:tab w:val="left" w:pos="1440"/>
        </w:tabs>
        <w:spacing w:before="324"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 xml:space="preserve"> (</w:t>
      </w:r>
      <w:r>
        <w:rPr>
          <w:rFonts w:ascii="Arial" w:eastAsia="Arial" w:hAnsi="Arial"/>
          <w:i/>
          <w:color w:val="000000"/>
          <w:sz w:val="28"/>
          <w:u w:val="single"/>
        </w:rPr>
        <w:t>date</w:t>
      </w:r>
      <w:r>
        <w:rPr>
          <w:rFonts w:ascii="Arial" w:eastAsia="Arial" w:hAnsi="Arial"/>
          <w:color w:val="000000"/>
          <w:sz w:val="28"/>
          <w:u w:val="single"/>
        </w:rPr>
        <w:t>)</w:t>
      </w:r>
      <w:r>
        <w:rPr>
          <w:rFonts w:ascii="Arial" w:eastAsia="Arial" w:hAnsi="Arial"/>
          <w:color w:val="000000"/>
          <w:sz w:val="28"/>
        </w:rPr>
        <w:t xml:space="preserve">, in the County of </w:t>
      </w:r>
      <w:r>
        <w:rPr>
          <w:rFonts w:ascii="Arial" w:eastAsia="Arial" w:hAnsi="Arial"/>
          <w:color w:val="000000"/>
          <w:sz w:val="28"/>
          <w:u w:val="single"/>
        </w:rPr>
        <w:t xml:space="preserve"> (</w:t>
      </w:r>
      <w:r>
        <w:rPr>
          <w:rFonts w:ascii="Arial" w:eastAsia="Arial" w:hAnsi="Arial"/>
          <w:i/>
          <w:color w:val="000000"/>
          <w:sz w:val="28"/>
          <w:u w:val="single"/>
        </w:rPr>
        <w:t>County</w:t>
      </w:r>
      <w:r>
        <w:rPr>
          <w:rFonts w:ascii="Arial" w:eastAsia="Arial" w:hAnsi="Arial"/>
          <w:color w:val="000000"/>
          <w:sz w:val="28"/>
          <w:u w:val="single"/>
        </w:rPr>
        <w:t>)</w:t>
      </w:r>
      <w:r>
        <w:rPr>
          <w:rFonts w:ascii="Arial" w:eastAsia="Arial" w:hAnsi="Arial"/>
          <w:color w:val="000000"/>
          <w:sz w:val="28"/>
        </w:rPr>
        <w:t xml:space="preserve">, the defendant, </w:t>
      </w:r>
      <w:r>
        <w:rPr>
          <w:rFonts w:ascii="Arial" w:eastAsia="Arial" w:hAnsi="Arial"/>
          <w:color w:val="000000"/>
          <w:sz w:val="28"/>
          <w:u w:val="single"/>
        </w:rPr>
        <w:t xml:space="preserve"> (</w:t>
      </w:r>
      <w:r>
        <w:rPr>
          <w:rFonts w:ascii="Arial" w:eastAsia="Arial" w:hAnsi="Arial"/>
          <w:i/>
          <w:color w:val="000000"/>
          <w:sz w:val="28"/>
          <w:u w:val="single"/>
        </w:rPr>
        <w:t>defendant's name</w:t>
      </w:r>
      <w:r>
        <w:rPr>
          <w:rFonts w:ascii="Arial" w:eastAsia="Arial" w:hAnsi="Arial"/>
          <w:color w:val="000000"/>
          <w:sz w:val="28"/>
          <w:u w:val="single"/>
        </w:rPr>
        <w:t>),</w:t>
      </w:r>
      <w:r>
        <w:rPr>
          <w:rFonts w:ascii="Arial" w:eastAsia="Arial" w:hAnsi="Arial"/>
          <w:color w:val="000000"/>
          <w:sz w:val="28"/>
        </w:rPr>
        <w:t xml:space="preserve"> advanced or profited from prostitution; and</w:t>
      </w:r>
    </w:p>
    <w:p w14:paraId="1C193801" w14:textId="77777777" w:rsidR="00532B1D" w:rsidRDefault="003E148F">
      <w:pPr>
        <w:numPr>
          <w:ilvl w:val="0"/>
          <w:numId w:val="1"/>
        </w:numPr>
        <w:tabs>
          <w:tab w:val="clear" w:pos="720"/>
          <w:tab w:val="left" w:pos="1440"/>
        </w:tabs>
        <w:spacing w:before="331" w:line="317"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w:t>
      </w:r>
    </w:p>
    <w:p w14:paraId="1C193802" w14:textId="7265DD03" w:rsidR="00532B1D" w:rsidRDefault="003E148F">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proven beyond a reasonable doubt both of those elements, you must find the defendant guilty of this crime.</w:t>
      </w:r>
    </w:p>
    <w:p w14:paraId="567747A4" w14:textId="77777777" w:rsidR="0023394A" w:rsidRDefault="003E148F" w:rsidP="0023394A">
      <w:pPr>
        <w:spacing w:before="324" w:after="2084"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that the People have not proven beyond a reasonable doubt either one or both of those elements, you must find the defendant not guilty of this crime.</w:t>
      </w:r>
    </w:p>
    <w:p w14:paraId="1C193804" w14:textId="562EA4DB" w:rsidR="00532B1D" w:rsidRPr="0023394A" w:rsidRDefault="000B40A1" w:rsidP="0023394A">
      <w:pPr>
        <w:spacing w:before="324" w:after="2084" w:line="324" w:lineRule="exact"/>
        <w:ind w:firstLine="720"/>
        <w:jc w:val="both"/>
        <w:textAlignment w:val="baseline"/>
        <w:rPr>
          <w:rFonts w:ascii="Arial" w:eastAsia="Arial" w:hAnsi="Arial"/>
          <w:color w:val="000000"/>
          <w:spacing w:val="-4"/>
          <w:sz w:val="28"/>
        </w:rPr>
      </w:pPr>
      <w:r>
        <w:pict w14:anchorId="1C193808">
          <v:line id="_x0000_s1026" style="position:absolute;left:0;text-align:left;z-index:251658240;mso-position-horizontal-relative:page;mso-position-vertical-relative:page" from="107.85pt,630.95pt" to="252.05pt,630.95pt" strokeweight="1.2pt">
            <w10:wrap anchorx="page" anchory="page"/>
          </v:line>
        </w:pict>
      </w:r>
      <w:r w:rsidR="003E148F">
        <w:rPr>
          <w:rFonts w:ascii="Arial" w:eastAsia="Arial" w:hAnsi="Arial"/>
          <w:color w:val="000000"/>
          <w:sz w:val="14"/>
          <w:vertAlign w:val="superscript"/>
        </w:rPr>
        <w:t>4</w:t>
      </w:r>
      <w:r w:rsidR="003E148F">
        <w:rPr>
          <w:rFonts w:ascii="Arial" w:eastAsia="Arial" w:hAnsi="Arial"/>
          <w:color w:val="000000"/>
          <w:sz w:val="24"/>
        </w:rPr>
        <w:t xml:space="preserve"> Penal Law § 230.15 (2). </w:t>
      </w:r>
    </w:p>
    <w:p w14:paraId="1C193805" w14:textId="77777777" w:rsidR="00532B1D" w:rsidRDefault="003E148F">
      <w:pPr>
        <w:spacing w:before="238" w:line="281" w:lineRule="exact"/>
        <w:ind w:firstLine="720"/>
        <w:jc w:val="both"/>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lastRenderedPageBreak/>
        <w:t>5</w:t>
      </w:r>
      <w:r>
        <w:rPr>
          <w:rFonts w:ascii="Arial" w:eastAsia="Arial" w:hAnsi="Arial"/>
          <w:i/>
          <w:color w:val="000000"/>
          <w:spacing w:val="-1"/>
          <w:sz w:val="24"/>
        </w:rPr>
        <w:t xml:space="preserve"> See </w:t>
      </w:r>
      <w:r>
        <w:rPr>
          <w:rFonts w:ascii="Arial" w:eastAsia="Arial" w:hAnsi="Arial"/>
          <w:color w:val="000000"/>
          <w:spacing w:val="-1"/>
          <w:sz w:val="24"/>
        </w:rPr>
        <w:t>Penal Law § 15.05 (2). An expanded definition of “knowingly,” is set forth in the General charges in the “Culpable Mental States” section.</w:t>
      </w:r>
    </w:p>
    <w:p w14:paraId="1C193806" w14:textId="77777777" w:rsidR="00532B1D" w:rsidRDefault="003E148F">
      <w:pPr>
        <w:spacing w:before="236" w:line="227" w:lineRule="exact"/>
        <w:jc w:val="center"/>
        <w:textAlignment w:val="baseline"/>
        <w:rPr>
          <w:rFonts w:ascii="Arial" w:eastAsia="Arial" w:hAnsi="Arial"/>
          <w:color w:val="000000"/>
          <w:sz w:val="20"/>
        </w:rPr>
      </w:pPr>
      <w:r>
        <w:rPr>
          <w:rFonts w:ascii="Arial" w:eastAsia="Arial" w:hAnsi="Arial"/>
          <w:color w:val="000000"/>
          <w:sz w:val="20"/>
        </w:rPr>
        <w:t>2</w:t>
      </w:r>
    </w:p>
    <w:sectPr w:rsidR="00532B1D">
      <w:pgSz w:w="12240" w:h="15840"/>
      <w:pgMar w:top="1440" w:right="2143" w:bottom="1024" w:left="21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C0E"/>
    <w:multiLevelType w:val="multilevel"/>
    <w:tmpl w:val="05BA0BC2"/>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32B1D"/>
    <w:rsid w:val="000B40A1"/>
    <w:rsid w:val="001A144E"/>
    <w:rsid w:val="001F3AD1"/>
    <w:rsid w:val="0023394A"/>
    <w:rsid w:val="00284A9B"/>
    <w:rsid w:val="003E148F"/>
    <w:rsid w:val="00454738"/>
    <w:rsid w:val="00532B1D"/>
    <w:rsid w:val="006E164E"/>
    <w:rsid w:val="007A474B"/>
    <w:rsid w:val="008038E0"/>
    <w:rsid w:val="00A81CD0"/>
    <w:rsid w:val="00B34262"/>
    <w:rsid w:val="00BD308F"/>
    <w:rsid w:val="00C573BF"/>
    <w:rsid w:val="00D63A4D"/>
    <w:rsid w:val="00EA1E70"/>
    <w:rsid w:val="00F3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1937F3"/>
  <w15:docId w15:val="{4A3AE378-8A81-4320-9BA1-C4A155C9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27</cp:revision>
  <dcterms:created xsi:type="dcterms:W3CDTF">2020-09-04T15:32:00Z</dcterms:created>
  <dcterms:modified xsi:type="dcterms:W3CDTF">2020-11-10T19:21:00Z</dcterms:modified>
</cp:coreProperties>
</file>