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0DD7D" w14:textId="77777777" w:rsidR="004F2FD7" w:rsidRDefault="0013469A">
      <w:pPr>
        <w:spacing w:before="7" w:line="307" w:lineRule="exact"/>
        <w:jc w:val="center"/>
        <w:textAlignment w:val="baseline"/>
        <w:rPr>
          <w:rFonts w:ascii="Arial" w:eastAsia="Arial" w:hAnsi="Arial"/>
          <w:b/>
          <w:color w:val="000000"/>
          <w:sz w:val="26"/>
        </w:rPr>
      </w:pPr>
      <w:r>
        <w:rPr>
          <w:rFonts w:ascii="Arial" w:eastAsia="Arial" w:hAnsi="Arial"/>
          <w:b/>
          <w:color w:val="000000"/>
          <w:sz w:val="26"/>
        </w:rPr>
        <w:t xml:space="preserve">POSSESSION OF GAMBLING RECORDS </w:t>
      </w:r>
      <w:r>
        <w:rPr>
          <w:rFonts w:ascii="Arial" w:eastAsia="Arial" w:hAnsi="Arial"/>
          <w:b/>
          <w:color w:val="000000"/>
          <w:sz w:val="26"/>
        </w:rPr>
        <w:br/>
        <w:t xml:space="preserve">IN THE SECOND DEGREE </w:t>
      </w:r>
      <w:r>
        <w:rPr>
          <w:rFonts w:ascii="Arial" w:eastAsia="Arial" w:hAnsi="Arial"/>
          <w:b/>
          <w:color w:val="000000"/>
          <w:sz w:val="26"/>
        </w:rPr>
        <w:br/>
        <w:t xml:space="preserve">Penal Law § 225.15(1) </w:t>
      </w:r>
      <w:r>
        <w:rPr>
          <w:rFonts w:ascii="Arial" w:eastAsia="Arial" w:hAnsi="Arial"/>
          <w:b/>
          <w:color w:val="000000"/>
          <w:sz w:val="26"/>
        </w:rPr>
        <w:br/>
        <w:t>(Committed on or after September 1, 1969)</w:t>
      </w:r>
    </w:p>
    <w:p w14:paraId="210DC646" w14:textId="77777777" w:rsidR="004F2FD7" w:rsidRDefault="0013469A">
      <w:pPr>
        <w:spacing w:before="613" w:line="293" w:lineRule="exact"/>
        <w:ind w:firstLine="720"/>
        <w:jc w:val="both"/>
        <w:textAlignment w:val="baseline"/>
        <w:rPr>
          <w:rFonts w:ascii="Arial" w:eastAsia="Arial" w:hAnsi="Arial"/>
          <w:color w:val="000000"/>
          <w:sz w:val="26"/>
        </w:rPr>
      </w:pPr>
      <w:r>
        <w:rPr>
          <w:rFonts w:ascii="Arial" w:eastAsia="Arial" w:hAnsi="Arial"/>
          <w:color w:val="000000"/>
          <w:sz w:val="26"/>
        </w:rPr>
        <w:t>The (</w:t>
      </w:r>
      <w:r>
        <w:rPr>
          <w:rFonts w:ascii="Arial" w:eastAsia="Arial" w:hAnsi="Arial"/>
          <w:i/>
          <w:color w:val="000000"/>
          <w:sz w:val="26"/>
          <w:u w:val="single"/>
        </w:rPr>
        <w:t>specify</w:t>
      </w:r>
      <w:r>
        <w:rPr>
          <w:rFonts w:ascii="Arial" w:eastAsia="Arial" w:hAnsi="Arial"/>
          <w:color w:val="000000"/>
          <w:sz w:val="26"/>
        </w:rPr>
        <w:t>) count is Possession of Gambling Records in the Second Degree.</w:t>
      </w:r>
    </w:p>
    <w:p w14:paraId="287C384F" w14:textId="4DD72B00" w:rsidR="004F2FD7" w:rsidRDefault="0013469A">
      <w:pPr>
        <w:spacing w:before="296" w:line="299" w:lineRule="exact"/>
        <w:ind w:firstLine="720"/>
        <w:jc w:val="both"/>
        <w:textAlignment w:val="baseline"/>
        <w:rPr>
          <w:rFonts w:ascii="Arial" w:eastAsia="Arial" w:hAnsi="Arial"/>
          <w:color w:val="000000"/>
          <w:spacing w:val="-3"/>
          <w:sz w:val="26"/>
        </w:rPr>
      </w:pPr>
      <w:r>
        <w:rPr>
          <w:rFonts w:ascii="Arial" w:eastAsia="Arial" w:hAnsi="Arial"/>
          <w:color w:val="000000"/>
          <w:spacing w:val="-3"/>
          <w:sz w:val="26"/>
        </w:rPr>
        <w:t>Under our law, a person is guilty of Possession of Gambling Records in the Second Degree when, with knowledge of the contents or nature thereof, that person possesses any writing, paper, instrument,</w:t>
      </w:r>
      <w:r>
        <w:rPr>
          <w:rFonts w:ascii="Arial" w:eastAsia="Arial" w:hAnsi="Arial"/>
          <w:color w:val="000000"/>
          <w:spacing w:val="-3"/>
          <w:sz w:val="26"/>
        </w:rPr>
        <w:t xml:space="preserve"> or article of a kind commonly used in the operation or promotion of a bookmaking scheme or enterprise.</w:t>
      </w:r>
    </w:p>
    <w:p w14:paraId="4088F01D" w14:textId="77777777" w:rsidR="004F2FD7" w:rsidRDefault="0013469A">
      <w:pPr>
        <w:spacing w:before="294" w:line="299" w:lineRule="exact"/>
        <w:ind w:firstLine="720"/>
        <w:jc w:val="both"/>
        <w:textAlignment w:val="baseline"/>
        <w:rPr>
          <w:rFonts w:ascii="Arial" w:eastAsia="Arial" w:hAnsi="Arial"/>
          <w:color w:val="000000"/>
          <w:sz w:val="26"/>
        </w:rPr>
      </w:pPr>
      <w:r>
        <w:rPr>
          <w:rFonts w:ascii="Arial" w:eastAsia="Arial" w:hAnsi="Arial"/>
          <w:color w:val="000000"/>
          <w:sz w:val="26"/>
        </w:rPr>
        <w:t>The following terms used in that definition have a special meaning:</w:t>
      </w:r>
    </w:p>
    <w:p w14:paraId="607051F7" w14:textId="77777777" w:rsidR="004F2FD7" w:rsidRDefault="0013469A">
      <w:pPr>
        <w:spacing w:before="287" w:line="299" w:lineRule="exact"/>
        <w:ind w:firstLine="720"/>
        <w:jc w:val="both"/>
        <w:textAlignment w:val="baseline"/>
        <w:rPr>
          <w:rFonts w:ascii="Arial" w:eastAsia="Arial" w:hAnsi="Arial"/>
          <w:color w:val="000000"/>
          <w:sz w:val="26"/>
        </w:rPr>
      </w:pPr>
      <w:r>
        <w:rPr>
          <w:rFonts w:ascii="Arial" w:eastAsia="Arial" w:hAnsi="Arial"/>
          <w:color w:val="000000"/>
          <w:sz w:val="26"/>
        </w:rPr>
        <w:t>“POSSESS” means to have physical possession or otherwise to exercise dominion o</w:t>
      </w:r>
      <w:r>
        <w:rPr>
          <w:rFonts w:ascii="Arial" w:eastAsia="Arial" w:hAnsi="Arial"/>
          <w:color w:val="000000"/>
          <w:sz w:val="26"/>
        </w:rPr>
        <w:t>r control over tangible property.</w:t>
      </w:r>
      <w:r>
        <w:rPr>
          <w:rFonts w:ascii="Arial" w:eastAsia="Arial" w:hAnsi="Arial"/>
          <w:color w:val="000000"/>
          <w:sz w:val="26"/>
          <w:vertAlign w:val="superscript"/>
        </w:rPr>
        <w:t>1</w:t>
      </w:r>
      <w:r>
        <w:rPr>
          <w:rFonts w:ascii="Arial" w:eastAsia="Arial" w:hAnsi="Arial"/>
          <w:color w:val="000000"/>
          <w:sz w:val="16"/>
        </w:rPr>
        <w:t xml:space="preserve"> </w:t>
      </w:r>
    </w:p>
    <w:p w14:paraId="50054ADE" w14:textId="77777777" w:rsidR="004F2FD7" w:rsidRDefault="0013469A">
      <w:pPr>
        <w:spacing w:before="292" w:line="299" w:lineRule="exact"/>
        <w:ind w:firstLine="720"/>
        <w:jc w:val="both"/>
        <w:textAlignment w:val="baseline"/>
        <w:rPr>
          <w:rFonts w:ascii="Arial" w:eastAsia="Arial" w:hAnsi="Arial"/>
          <w:color w:val="000000"/>
          <w:sz w:val="26"/>
        </w:rPr>
      </w:pPr>
      <w:r>
        <w:rPr>
          <w:rFonts w:ascii="Arial" w:eastAsia="Arial" w:hAnsi="Arial"/>
          <w:color w:val="000000"/>
          <w:sz w:val="26"/>
        </w:rPr>
        <w:t>Under our law, proof of possession of any gambling record is presumptive evidence of possession thereof with knowledge of its character or contents.</w:t>
      </w:r>
      <w:r>
        <w:rPr>
          <w:rFonts w:ascii="Arial" w:eastAsia="Arial" w:hAnsi="Arial"/>
          <w:color w:val="000000"/>
          <w:sz w:val="26"/>
          <w:vertAlign w:val="superscript"/>
        </w:rPr>
        <w:t>2</w:t>
      </w:r>
      <w:r>
        <w:rPr>
          <w:rFonts w:ascii="Arial" w:eastAsia="Arial" w:hAnsi="Arial"/>
          <w:color w:val="000000"/>
          <w:sz w:val="26"/>
        </w:rPr>
        <w:t xml:space="preserve"> What this means is that, if the People have proven beyond a reasonable</w:t>
      </w:r>
      <w:r>
        <w:rPr>
          <w:rFonts w:ascii="Arial" w:eastAsia="Arial" w:hAnsi="Arial"/>
          <w:color w:val="000000"/>
          <w:sz w:val="26"/>
        </w:rPr>
        <w:t xml:space="preserve"> doubt that the defendant was in possession of a gambling record, you may, but you are not required to, infer that the defendant had knowledge of its character or contents. Whether or not to draw that inference is for you to decide and will depend entirely</w:t>
      </w:r>
      <w:r>
        <w:rPr>
          <w:rFonts w:ascii="Arial" w:eastAsia="Arial" w:hAnsi="Arial"/>
          <w:color w:val="000000"/>
          <w:sz w:val="26"/>
        </w:rPr>
        <w:t xml:space="preserve"> on your evaluation of the evidence.</w:t>
      </w:r>
      <w:r>
        <w:rPr>
          <w:rFonts w:ascii="Arial" w:eastAsia="Arial" w:hAnsi="Arial"/>
          <w:color w:val="000000"/>
          <w:sz w:val="26"/>
          <w:vertAlign w:val="superscript"/>
        </w:rPr>
        <w:t>3</w:t>
      </w:r>
      <w:r>
        <w:rPr>
          <w:rFonts w:ascii="Arial" w:eastAsia="Arial" w:hAnsi="Arial"/>
          <w:color w:val="000000"/>
          <w:sz w:val="16"/>
        </w:rPr>
        <w:t xml:space="preserve"> </w:t>
      </w:r>
    </w:p>
    <w:p w14:paraId="76161431" w14:textId="77777777" w:rsidR="004F2FD7" w:rsidRDefault="0013469A">
      <w:pPr>
        <w:spacing w:before="594" w:after="882" w:line="299" w:lineRule="exact"/>
        <w:ind w:firstLine="720"/>
        <w:jc w:val="both"/>
        <w:textAlignment w:val="baseline"/>
        <w:rPr>
          <w:rFonts w:ascii="Arial" w:eastAsia="Arial" w:hAnsi="Arial"/>
          <w:color w:val="000000"/>
          <w:spacing w:val="-5"/>
          <w:sz w:val="26"/>
        </w:rPr>
      </w:pPr>
      <w:r>
        <w:rPr>
          <w:rFonts w:ascii="Arial" w:eastAsia="Arial" w:hAnsi="Arial"/>
          <w:color w:val="000000"/>
          <w:spacing w:val="-5"/>
          <w:sz w:val="26"/>
        </w:rPr>
        <w:t xml:space="preserve">“BOOKMAKING” means advancing gambling activity by unlawfully accepting bets from members of the public as a business, rather than in a casual or personal fashion, upon the outcomes of </w:t>
      </w:r>
      <w:proofErr w:type="gramStart"/>
      <w:r>
        <w:rPr>
          <w:rFonts w:ascii="Arial" w:eastAsia="Arial" w:hAnsi="Arial"/>
          <w:color w:val="000000"/>
          <w:spacing w:val="-5"/>
          <w:sz w:val="26"/>
        </w:rPr>
        <w:t>future</w:t>
      </w:r>
      <w:proofErr w:type="gramEnd"/>
    </w:p>
    <w:p w14:paraId="48118B12" w14:textId="77777777" w:rsidR="004F2FD7" w:rsidRDefault="0013469A">
      <w:pPr>
        <w:spacing w:before="254" w:line="222" w:lineRule="exact"/>
        <w:ind w:right="72"/>
        <w:jc w:val="both"/>
        <w:textAlignment w:val="baseline"/>
        <w:rPr>
          <w:rFonts w:ascii="Arial" w:eastAsia="Arial" w:hAnsi="Arial"/>
          <w:color w:val="000000"/>
          <w:sz w:val="14"/>
          <w:vertAlign w:val="superscript"/>
        </w:rPr>
      </w:pPr>
      <w:r>
        <w:pict w14:anchorId="6DEBD436">
          <v:line id="_x0000_s1028" style="position:absolute;left:0;text-align:left;z-index:251656704;mso-position-horizontal-relative:page;mso-position-vertical-relative:page" from="108pt,626.15pt" to="252.05pt,626.15pt" strokeweight="1.2pt">
            <w10:wrap anchorx="page" anchory="page"/>
          </v:line>
        </w:pict>
      </w:r>
      <w:r>
        <w:rPr>
          <w:rFonts w:ascii="Arial" w:eastAsia="Arial" w:hAnsi="Arial"/>
          <w:color w:val="000000"/>
          <w:sz w:val="14"/>
          <w:vertAlign w:val="superscript"/>
        </w:rPr>
        <w:t>1</w:t>
      </w:r>
      <w:r>
        <w:rPr>
          <w:rFonts w:ascii="Arial" w:eastAsia="Arial" w:hAnsi="Arial"/>
          <w:color w:val="000000"/>
          <w:sz w:val="18"/>
        </w:rPr>
        <w:t xml:space="preserve">Penal Law §10.00(8). </w:t>
      </w:r>
      <w:r>
        <w:rPr>
          <w:rFonts w:ascii="Arial" w:eastAsia="Arial" w:hAnsi="Arial"/>
          <w:color w:val="000000"/>
          <w:sz w:val="19"/>
        </w:rPr>
        <w:t>If necessary, an expanded definition of “possession” is available in the section of General Instructions under Possession.</w:t>
      </w:r>
    </w:p>
    <w:p w14:paraId="64110156" w14:textId="77777777" w:rsidR="004F2FD7" w:rsidRDefault="0013469A">
      <w:pPr>
        <w:spacing w:before="198" w:line="24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color w:val="000000"/>
          <w:sz w:val="18"/>
        </w:rPr>
        <w:t>Penal Law §225.35(1).</w:t>
      </w:r>
    </w:p>
    <w:p w14:paraId="7B6D2B3D" w14:textId="77777777" w:rsidR="004F2FD7" w:rsidRDefault="0013469A">
      <w:pPr>
        <w:spacing w:before="243" w:line="256" w:lineRule="exact"/>
        <w:ind w:right="1008"/>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rPr>
        <w:t xml:space="preserve"> </w:t>
      </w:r>
      <w:r w:rsidRPr="0013469A">
        <w:rPr>
          <w:rFonts w:ascii="Arial" w:eastAsia="Arial" w:hAnsi="Arial"/>
          <w:color w:val="000000"/>
          <w:sz w:val="18"/>
          <w:szCs w:val="18"/>
        </w:rPr>
        <w:t xml:space="preserve">In 2019, the last sentence was added to conform to the instruction for presumptions in </w:t>
      </w:r>
      <w:r w:rsidRPr="0013469A">
        <w:rPr>
          <w:rFonts w:ascii="Arial" w:eastAsia="Arial" w:hAnsi="Arial"/>
          <w:color w:val="000000"/>
          <w:sz w:val="18"/>
          <w:szCs w:val="18"/>
        </w:rPr>
        <w:t>other sections.</w:t>
      </w:r>
    </w:p>
    <w:p w14:paraId="2620ABB0" w14:textId="77777777" w:rsidR="004F2FD7" w:rsidRDefault="004F2FD7">
      <w:pPr>
        <w:sectPr w:rsidR="004F2FD7">
          <w:pgSz w:w="12240" w:h="15840"/>
          <w:pgMar w:top="1440" w:right="2140" w:bottom="1024" w:left="2160" w:header="720" w:footer="0" w:gutter="0"/>
          <w:cols w:space="720"/>
        </w:sectPr>
      </w:pPr>
    </w:p>
    <w:p w14:paraId="4E674166" w14:textId="77777777" w:rsidR="004F2FD7" w:rsidRDefault="0013469A">
      <w:pPr>
        <w:spacing w:before="44" w:line="298" w:lineRule="exact"/>
        <w:textAlignment w:val="baseline"/>
        <w:rPr>
          <w:rFonts w:ascii="Arial" w:eastAsia="Arial" w:hAnsi="Arial"/>
          <w:color w:val="000000"/>
          <w:spacing w:val="-4"/>
          <w:sz w:val="26"/>
        </w:rPr>
      </w:pPr>
      <w:r>
        <w:rPr>
          <w:rFonts w:ascii="Arial" w:eastAsia="Arial" w:hAnsi="Arial"/>
          <w:color w:val="000000"/>
          <w:spacing w:val="-4"/>
          <w:sz w:val="26"/>
        </w:rPr>
        <w:lastRenderedPageBreak/>
        <w:t>contingent events.</w:t>
      </w:r>
      <w:r>
        <w:rPr>
          <w:rFonts w:ascii="Arial" w:eastAsia="Arial" w:hAnsi="Arial"/>
          <w:color w:val="000000"/>
          <w:spacing w:val="-4"/>
          <w:sz w:val="26"/>
          <w:vertAlign w:val="superscript"/>
        </w:rPr>
        <w:t>4</w:t>
      </w:r>
      <w:r>
        <w:rPr>
          <w:rFonts w:ascii="Arial" w:eastAsia="Arial" w:hAnsi="Arial"/>
          <w:color w:val="000000"/>
          <w:spacing w:val="-4"/>
          <w:sz w:val="16"/>
        </w:rPr>
        <w:t xml:space="preserve"> </w:t>
      </w:r>
    </w:p>
    <w:p w14:paraId="6A44C450" w14:textId="77777777" w:rsidR="004F2FD7" w:rsidRDefault="0013469A">
      <w:pPr>
        <w:spacing w:before="302" w:line="298" w:lineRule="exact"/>
        <w:ind w:firstLine="720"/>
        <w:jc w:val="both"/>
        <w:textAlignment w:val="baseline"/>
        <w:rPr>
          <w:rFonts w:ascii="Arial" w:eastAsia="Arial" w:hAnsi="Arial"/>
          <w:color w:val="000000"/>
          <w:spacing w:val="-4"/>
          <w:sz w:val="26"/>
        </w:rPr>
      </w:pPr>
      <w:r>
        <w:rPr>
          <w:rFonts w:ascii="Arial" w:eastAsia="Arial" w:hAnsi="Arial"/>
          <w:color w:val="000000"/>
          <w:spacing w:val="-4"/>
          <w:sz w:val="26"/>
        </w:rPr>
        <w:t>The terms “advancing gambling activity” and “unlawfully” used in the definition of "bookmaking" also have their own special meanings.</w:t>
      </w:r>
    </w:p>
    <w:p w14:paraId="6B2C1E3B" w14:textId="77777777" w:rsidR="004F2FD7" w:rsidRDefault="0013469A">
      <w:pPr>
        <w:spacing w:before="293" w:line="298" w:lineRule="exact"/>
        <w:ind w:firstLine="720"/>
        <w:jc w:val="both"/>
        <w:textAlignment w:val="baseline"/>
        <w:rPr>
          <w:rFonts w:ascii="Arial" w:eastAsia="Arial" w:hAnsi="Arial"/>
          <w:color w:val="000000"/>
          <w:sz w:val="26"/>
        </w:rPr>
      </w:pPr>
      <w:r>
        <w:rPr>
          <w:rFonts w:ascii="Arial" w:eastAsia="Arial" w:hAnsi="Arial"/>
          <w:color w:val="000000"/>
          <w:sz w:val="26"/>
        </w:rPr>
        <w:t>A person “advances gambling activity” when, acting other than as a player</w:t>
      </w:r>
      <w:r>
        <w:rPr>
          <w:rFonts w:ascii="Arial" w:eastAsia="Arial" w:hAnsi="Arial"/>
          <w:color w:val="000000"/>
          <w:sz w:val="26"/>
          <w:vertAlign w:val="superscript"/>
        </w:rPr>
        <w:t>5</w:t>
      </w:r>
      <w:r>
        <w:rPr>
          <w:rFonts w:ascii="Arial" w:eastAsia="Arial" w:hAnsi="Arial"/>
          <w:color w:val="000000"/>
          <w:sz w:val="26"/>
        </w:rPr>
        <w:t>, that person engages in conduct which materiall</w:t>
      </w:r>
      <w:r>
        <w:rPr>
          <w:rFonts w:ascii="Arial" w:eastAsia="Arial" w:hAnsi="Arial"/>
          <w:color w:val="000000"/>
          <w:sz w:val="26"/>
        </w:rPr>
        <w:t>y aids any form of gambling activity.</w:t>
      </w:r>
      <w:r>
        <w:rPr>
          <w:rFonts w:eastAsia="Times New Roman"/>
          <w:b/>
          <w:color w:val="000000"/>
          <w:sz w:val="26"/>
          <w:vertAlign w:val="superscript"/>
        </w:rPr>
        <w:t>6</w:t>
      </w:r>
      <w:r>
        <w:rPr>
          <w:rFonts w:eastAsia="Times New Roman"/>
          <w:b/>
          <w:color w:val="000000"/>
          <w:sz w:val="16"/>
        </w:rPr>
        <w:t xml:space="preserve"> </w:t>
      </w:r>
    </w:p>
    <w:p w14:paraId="1690B03A" w14:textId="77777777" w:rsidR="004F2FD7" w:rsidRDefault="0013469A">
      <w:pPr>
        <w:spacing w:before="298" w:line="295" w:lineRule="exact"/>
        <w:jc w:val="both"/>
        <w:textAlignment w:val="baseline"/>
        <w:rPr>
          <w:rFonts w:ascii="Arial" w:eastAsia="Arial" w:hAnsi="Arial"/>
          <w:i/>
          <w:color w:val="000000"/>
          <w:sz w:val="26"/>
        </w:rPr>
      </w:pPr>
      <w:r>
        <w:rPr>
          <w:rFonts w:ascii="Arial" w:eastAsia="Arial" w:hAnsi="Arial"/>
          <w:i/>
          <w:color w:val="000000"/>
          <w:sz w:val="26"/>
        </w:rPr>
        <w:t>[Note: add if appropriate:</w:t>
      </w:r>
    </w:p>
    <w:p w14:paraId="47C55F09" w14:textId="77777777" w:rsidR="004F2FD7" w:rsidRDefault="0013469A">
      <w:pPr>
        <w:spacing w:line="297" w:lineRule="exact"/>
        <w:ind w:firstLine="720"/>
        <w:jc w:val="both"/>
        <w:textAlignment w:val="baseline"/>
        <w:rPr>
          <w:rFonts w:ascii="Arial" w:eastAsia="Arial" w:hAnsi="Arial"/>
          <w:color w:val="000000"/>
          <w:spacing w:val="-4"/>
          <w:sz w:val="26"/>
        </w:rPr>
      </w:pPr>
      <w:r>
        <w:rPr>
          <w:rFonts w:ascii="Arial" w:eastAsia="Arial" w:hAnsi="Arial"/>
          <w:color w:val="000000"/>
          <w:spacing w:val="-4"/>
          <w:sz w:val="26"/>
        </w:rPr>
        <w:t>Such conduct includes but is not limited to conduct directed toward the creation or establishment of the particular game, contest, scheme, device or activity involved, toward the acquisitio</w:t>
      </w:r>
      <w:r>
        <w:rPr>
          <w:rFonts w:ascii="Arial" w:eastAsia="Arial" w:hAnsi="Arial"/>
          <w:color w:val="000000"/>
          <w:spacing w:val="-4"/>
          <w:sz w:val="26"/>
        </w:rPr>
        <w:t>n or maintenance of premises, paraphernalia, equipment or apparatus therefor, toward the solicitation or inducement of persons to participate therein, toward the actual conduct of the playing phases thereof, toward the arrangement of any of its financial o</w:t>
      </w:r>
      <w:r>
        <w:rPr>
          <w:rFonts w:ascii="Arial" w:eastAsia="Arial" w:hAnsi="Arial"/>
          <w:color w:val="000000"/>
          <w:spacing w:val="-4"/>
          <w:sz w:val="26"/>
        </w:rPr>
        <w:t xml:space="preserve">r recording phases, or toward any other phase of its operation. </w:t>
      </w:r>
      <w:r>
        <w:rPr>
          <w:rFonts w:ascii="Arial" w:eastAsia="Arial" w:hAnsi="Arial"/>
          <w:color w:val="000000"/>
          <w:spacing w:val="-4"/>
          <w:sz w:val="26"/>
          <w:vertAlign w:val="superscript"/>
        </w:rPr>
        <w:t>7]</w:t>
      </w:r>
      <w:r>
        <w:rPr>
          <w:rFonts w:ascii="Arial" w:eastAsia="Arial" w:hAnsi="Arial"/>
          <w:color w:val="000000"/>
          <w:spacing w:val="-4"/>
          <w:sz w:val="26"/>
        </w:rPr>
        <w:t xml:space="preserve"> </w:t>
      </w:r>
    </w:p>
    <w:p w14:paraId="79DBBE6C" w14:textId="77777777" w:rsidR="004F2FD7" w:rsidRDefault="0013469A">
      <w:pPr>
        <w:spacing w:before="304" w:line="295" w:lineRule="exact"/>
        <w:textAlignment w:val="baseline"/>
        <w:rPr>
          <w:rFonts w:ascii="Arial" w:eastAsia="Arial" w:hAnsi="Arial"/>
          <w:i/>
          <w:color w:val="000000"/>
          <w:sz w:val="26"/>
        </w:rPr>
      </w:pPr>
      <w:r>
        <w:rPr>
          <w:rFonts w:ascii="Arial" w:eastAsia="Arial" w:hAnsi="Arial"/>
          <w:i/>
          <w:color w:val="000000"/>
          <w:sz w:val="26"/>
        </w:rPr>
        <w:t>[Note: add if appropriate:</w:t>
      </w:r>
    </w:p>
    <w:p w14:paraId="7E25337C" w14:textId="77777777" w:rsidR="004F2FD7" w:rsidRDefault="0013469A">
      <w:pPr>
        <w:spacing w:before="4" w:after="446" w:line="298" w:lineRule="exact"/>
        <w:ind w:firstLine="720"/>
        <w:jc w:val="both"/>
        <w:textAlignment w:val="baseline"/>
        <w:rPr>
          <w:rFonts w:ascii="Arial" w:eastAsia="Arial" w:hAnsi="Arial"/>
          <w:color w:val="000000"/>
          <w:spacing w:val="-2"/>
          <w:sz w:val="26"/>
        </w:rPr>
      </w:pPr>
      <w:r>
        <w:rPr>
          <w:rFonts w:ascii="Arial" w:eastAsia="Arial" w:hAnsi="Arial"/>
          <w:color w:val="000000"/>
          <w:spacing w:val="-2"/>
          <w:sz w:val="26"/>
        </w:rPr>
        <w:t xml:space="preserve">One advances gambling activity when, having substantial proprietary or other authoritative control over premises being used with his or her knowledge for purposes of gambling activity, </w:t>
      </w:r>
      <w:proofErr w:type="gramStart"/>
      <w:r>
        <w:rPr>
          <w:rFonts w:ascii="Arial" w:eastAsia="Arial" w:hAnsi="Arial"/>
          <w:color w:val="000000"/>
          <w:spacing w:val="-2"/>
          <w:sz w:val="26"/>
        </w:rPr>
        <w:t>he</w:t>
      </w:r>
      <w:proofErr w:type="gramEnd"/>
      <w:r>
        <w:rPr>
          <w:rFonts w:ascii="Arial" w:eastAsia="Arial" w:hAnsi="Arial"/>
          <w:color w:val="000000"/>
          <w:spacing w:val="-2"/>
          <w:sz w:val="26"/>
        </w:rPr>
        <w:t xml:space="preserve"> or she</w:t>
      </w:r>
    </w:p>
    <w:p w14:paraId="74351ECB" w14:textId="77777777" w:rsidR="004F2FD7" w:rsidRDefault="0013469A">
      <w:pPr>
        <w:spacing w:before="212" w:line="240" w:lineRule="exact"/>
        <w:textAlignment w:val="baseline"/>
        <w:rPr>
          <w:rFonts w:ascii="Arial" w:eastAsia="Arial" w:hAnsi="Arial"/>
          <w:color w:val="000000"/>
          <w:sz w:val="14"/>
          <w:vertAlign w:val="superscript"/>
        </w:rPr>
      </w:pPr>
      <w:r>
        <w:pict w14:anchorId="0B390F89">
          <v:line id="_x0000_s1027" style="position:absolute;z-index:251657728;mso-position-horizontal-relative:page;mso-position-vertical-relative:page" from="107.75pt,438.25pt" to="252.05pt,438.25pt" strokeweight=".95pt">
            <w10:wrap anchorx="page" anchory="page"/>
          </v:line>
        </w:pict>
      </w:r>
      <w:r>
        <w:rPr>
          <w:rFonts w:ascii="Arial" w:eastAsia="Arial" w:hAnsi="Arial"/>
          <w:color w:val="000000"/>
          <w:sz w:val="14"/>
          <w:vertAlign w:val="superscript"/>
        </w:rPr>
        <w:t>4</w:t>
      </w:r>
      <w:r>
        <w:rPr>
          <w:rFonts w:ascii="Arial" w:eastAsia="Arial" w:hAnsi="Arial"/>
          <w:color w:val="000000"/>
          <w:sz w:val="18"/>
        </w:rPr>
        <w:t>Penal Law §225.00(9).</w:t>
      </w:r>
    </w:p>
    <w:p w14:paraId="34EB509A" w14:textId="77777777" w:rsidR="004F2FD7" w:rsidRDefault="0013469A">
      <w:pPr>
        <w:spacing w:before="202" w:line="24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color w:val="000000"/>
          <w:sz w:val="18"/>
        </w:rPr>
        <w:t>See Penal Law § 225.00(3) for defini</w:t>
      </w:r>
      <w:r>
        <w:rPr>
          <w:rFonts w:ascii="Arial" w:eastAsia="Arial" w:hAnsi="Arial"/>
          <w:color w:val="000000"/>
          <w:sz w:val="18"/>
        </w:rPr>
        <w:t>tion of “player.”</w:t>
      </w:r>
    </w:p>
    <w:p w14:paraId="427FEB5A" w14:textId="77777777" w:rsidR="004F2FD7" w:rsidRDefault="0013469A">
      <w:pPr>
        <w:tabs>
          <w:tab w:val="left" w:pos="720"/>
        </w:tabs>
        <w:spacing w:before="243" w:line="204" w:lineRule="exact"/>
        <w:jc w:val="both"/>
        <w:textAlignment w:val="baseline"/>
        <w:rPr>
          <w:rFonts w:ascii="Arial" w:eastAsia="Arial" w:hAnsi="Arial"/>
          <w:color w:val="000000"/>
          <w:spacing w:val="-1"/>
          <w:sz w:val="14"/>
        </w:rPr>
      </w:pPr>
      <w:r>
        <w:rPr>
          <w:rFonts w:ascii="Arial" w:eastAsia="Arial" w:hAnsi="Arial"/>
          <w:color w:val="000000"/>
          <w:spacing w:val="-1"/>
          <w:sz w:val="14"/>
        </w:rPr>
        <w:t>6</w:t>
      </w:r>
      <w:r>
        <w:rPr>
          <w:rFonts w:ascii="Arial" w:eastAsia="Arial" w:hAnsi="Arial"/>
          <w:color w:val="000000"/>
          <w:spacing w:val="-1"/>
          <w:sz w:val="14"/>
        </w:rPr>
        <w:tab/>
      </w:r>
      <w:r>
        <w:rPr>
          <w:rFonts w:ascii="Arial" w:eastAsia="Arial" w:hAnsi="Arial"/>
          <w:color w:val="000000"/>
          <w:spacing w:val="-1"/>
          <w:sz w:val="18"/>
        </w:rPr>
        <w:t>Depending on the facts and issues of the case, the terms, Gambling, Something of Value, and Contest of Chance, as defined in Penal Law § 225.00, may have to be explained as follows:</w:t>
      </w:r>
    </w:p>
    <w:p w14:paraId="4074B981" w14:textId="77777777" w:rsidR="004F2FD7" w:rsidRDefault="0013469A">
      <w:pPr>
        <w:spacing w:before="203" w:line="205" w:lineRule="exact"/>
        <w:ind w:firstLine="720"/>
        <w:textAlignment w:val="baseline"/>
        <w:rPr>
          <w:rFonts w:ascii="Arial" w:eastAsia="Arial" w:hAnsi="Arial"/>
          <w:color w:val="000000"/>
          <w:sz w:val="18"/>
        </w:rPr>
      </w:pPr>
      <w:r>
        <w:rPr>
          <w:rFonts w:ascii="Arial" w:eastAsia="Arial" w:hAnsi="Arial"/>
          <w:color w:val="000000"/>
          <w:sz w:val="18"/>
        </w:rPr>
        <w:t>A person engages in GAMBLING when that person stakes or risks "something o</w:t>
      </w:r>
      <w:r>
        <w:rPr>
          <w:rFonts w:ascii="Arial" w:eastAsia="Arial" w:hAnsi="Arial"/>
          <w:color w:val="000000"/>
          <w:sz w:val="18"/>
        </w:rPr>
        <w:t>f value" upon the outcome of a "contest of chance" or a future contingent event not under his control or influence, upon an agreement or understanding that he will receive something of value in the event of a certain outcome. Penal Law § 225.00(2).</w:t>
      </w:r>
    </w:p>
    <w:p w14:paraId="58FD7396" w14:textId="77777777" w:rsidR="004F2FD7" w:rsidRDefault="0013469A">
      <w:pPr>
        <w:spacing w:before="199" w:line="205" w:lineRule="exact"/>
        <w:ind w:right="144" w:firstLine="720"/>
        <w:textAlignment w:val="baseline"/>
        <w:rPr>
          <w:rFonts w:ascii="Arial" w:eastAsia="Arial" w:hAnsi="Arial"/>
          <w:color w:val="000000"/>
          <w:sz w:val="18"/>
        </w:rPr>
      </w:pPr>
      <w:r>
        <w:rPr>
          <w:rFonts w:ascii="Arial" w:eastAsia="Arial" w:hAnsi="Arial"/>
          <w:color w:val="000000"/>
          <w:sz w:val="18"/>
        </w:rPr>
        <w:t xml:space="preserve">SOMETHING OF VALUE means any money or property, any token, </w:t>
      </w:r>
      <w:proofErr w:type="gramStart"/>
      <w:r>
        <w:rPr>
          <w:rFonts w:ascii="Arial" w:eastAsia="Arial" w:hAnsi="Arial"/>
          <w:color w:val="000000"/>
          <w:sz w:val="18"/>
        </w:rPr>
        <w:t>object</w:t>
      </w:r>
      <w:proofErr w:type="gramEnd"/>
      <w:r>
        <w:rPr>
          <w:rFonts w:ascii="Arial" w:eastAsia="Arial" w:hAnsi="Arial"/>
          <w:color w:val="000000"/>
          <w:sz w:val="18"/>
        </w:rPr>
        <w:t xml:space="preserve"> or article exchangeable for money or property, or any form of credit or promise directly or indirectly contemplating transfer of money or property or of any interest therein, or involving ex</w:t>
      </w:r>
      <w:r>
        <w:rPr>
          <w:rFonts w:ascii="Arial" w:eastAsia="Arial" w:hAnsi="Arial"/>
          <w:color w:val="000000"/>
          <w:sz w:val="18"/>
        </w:rPr>
        <w:t>tension of a service, entertainment or a privilege of playing at a game or scheme without charge. Penal Law § 225.00(6).</w:t>
      </w:r>
    </w:p>
    <w:p w14:paraId="0E4826A6" w14:textId="77777777" w:rsidR="004F2FD7" w:rsidRDefault="0013469A">
      <w:pPr>
        <w:spacing w:before="204" w:line="204" w:lineRule="exact"/>
        <w:ind w:right="72" w:firstLine="720"/>
        <w:jc w:val="both"/>
        <w:textAlignment w:val="baseline"/>
        <w:rPr>
          <w:rFonts w:ascii="Arial" w:eastAsia="Arial" w:hAnsi="Arial"/>
          <w:color w:val="000000"/>
          <w:sz w:val="18"/>
        </w:rPr>
      </w:pPr>
      <w:r>
        <w:rPr>
          <w:rFonts w:ascii="Arial" w:eastAsia="Arial" w:hAnsi="Arial"/>
          <w:color w:val="000000"/>
          <w:sz w:val="18"/>
        </w:rPr>
        <w:t>CONTEST OF CHANCE means any contest, game, gaming scheme or gaming device in which the outcome depends in a material degree upon an ele</w:t>
      </w:r>
      <w:r>
        <w:rPr>
          <w:rFonts w:ascii="Arial" w:eastAsia="Arial" w:hAnsi="Arial"/>
          <w:color w:val="000000"/>
          <w:sz w:val="18"/>
        </w:rPr>
        <w:t>ment of chance, notwithstanding that skill of the contestants may also be a factor therein. Penal Law § 225.00(1).</w:t>
      </w:r>
    </w:p>
    <w:p w14:paraId="00FF6A07" w14:textId="08A52989" w:rsidR="004F2FD7" w:rsidRPr="0013469A" w:rsidRDefault="0013469A">
      <w:pPr>
        <w:tabs>
          <w:tab w:val="left" w:pos="720"/>
        </w:tabs>
        <w:spacing w:before="249" w:line="255" w:lineRule="exact"/>
        <w:textAlignment w:val="baseline"/>
        <w:rPr>
          <w:rFonts w:ascii="Arial" w:eastAsia="Arial" w:hAnsi="Arial"/>
          <w:color w:val="000000"/>
          <w:sz w:val="18"/>
          <w:szCs w:val="18"/>
        </w:rPr>
      </w:pPr>
      <w:r>
        <w:rPr>
          <w:rFonts w:ascii="Arial" w:eastAsia="Arial" w:hAnsi="Arial"/>
          <w:color w:val="000000"/>
          <w:sz w:val="14"/>
        </w:rPr>
        <w:t>7</w:t>
      </w:r>
      <w:r w:rsidRPr="0013469A">
        <w:rPr>
          <w:rFonts w:ascii="Arial" w:eastAsia="Arial" w:hAnsi="Arial"/>
          <w:color w:val="000000"/>
          <w:sz w:val="18"/>
          <w:szCs w:val="18"/>
        </w:rPr>
        <w:t>Penal Law § 225.00(4).</w:t>
      </w:r>
    </w:p>
    <w:p w14:paraId="6193391A" w14:textId="77777777" w:rsidR="004F2FD7" w:rsidRDefault="004F2FD7">
      <w:pPr>
        <w:sectPr w:rsidR="004F2FD7">
          <w:footerReference w:type="default" r:id="rId7"/>
          <w:pgSz w:w="12240" w:h="15840"/>
          <w:pgMar w:top="1400" w:right="2145" w:bottom="1307" w:left="2155" w:header="720" w:footer="1493" w:gutter="0"/>
          <w:cols w:space="720"/>
        </w:sectPr>
      </w:pPr>
    </w:p>
    <w:p w14:paraId="68027AE1" w14:textId="77777777" w:rsidR="004F2FD7" w:rsidRDefault="0013469A">
      <w:pPr>
        <w:spacing w:before="14" w:line="292" w:lineRule="exact"/>
        <w:jc w:val="both"/>
        <w:textAlignment w:val="baseline"/>
        <w:rPr>
          <w:rFonts w:ascii="Arial" w:eastAsia="Arial" w:hAnsi="Arial"/>
          <w:color w:val="000000"/>
          <w:sz w:val="26"/>
        </w:rPr>
      </w:pPr>
      <w:r>
        <w:rPr>
          <w:rFonts w:ascii="Arial" w:eastAsia="Arial" w:hAnsi="Arial"/>
          <w:color w:val="000000"/>
          <w:sz w:val="26"/>
        </w:rPr>
        <w:lastRenderedPageBreak/>
        <w:t>permits such to occur or continue or makes no effort to prevent its occurrence or continuation.</w:t>
      </w:r>
      <w:r>
        <w:rPr>
          <w:rFonts w:ascii="Arial" w:eastAsia="Arial" w:hAnsi="Arial"/>
          <w:color w:val="000000"/>
          <w:sz w:val="26"/>
          <w:vertAlign w:val="superscript"/>
        </w:rPr>
        <w:t>8</w:t>
      </w:r>
      <w:r>
        <w:rPr>
          <w:rFonts w:ascii="Arial" w:eastAsia="Arial" w:hAnsi="Arial"/>
          <w:color w:val="000000"/>
          <w:sz w:val="26"/>
        </w:rPr>
        <w:t>]</w:t>
      </w:r>
    </w:p>
    <w:p w14:paraId="4230E646" w14:textId="77777777" w:rsidR="004F2FD7" w:rsidRDefault="0013469A">
      <w:pPr>
        <w:spacing w:before="301" w:line="298" w:lineRule="exact"/>
        <w:ind w:firstLine="720"/>
        <w:jc w:val="both"/>
        <w:textAlignment w:val="baseline"/>
        <w:rPr>
          <w:rFonts w:ascii="Arial" w:eastAsia="Arial" w:hAnsi="Arial"/>
          <w:color w:val="000000"/>
          <w:sz w:val="26"/>
        </w:rPr>
      </w:pPr>
      <w:r>
        <w:rPr>
          <w:rFonts w:ascii="Arial" w:eastAsia="Arial" w:hAnsi="Arial"/>
          <w:color w:val="000000"/>
          <w:sz w:val="26"/>
        </w:rPr>
        <w:t>“UNLAWFULLY” means not specifically authorized by law.</w:t>
      </w:r>
      <w:r>
        <w:rPr>
          <w:rFonts w:ascii="Arial" w:eastAsia="Arial" w:hAnsi="Arial"/>
          <w:color w:val="000000"/>
          <w:sz w:val="26"/>
          <w:vertAlign w:val="superscript"/>
        </w:rPr>
        <w:t>9</w:t>
      </w:r>
      <w:r>
        <w:rPr>
          <w:rFonts w:ascii="Arial" w:eastAsia="Arial" w:hAnsi="Arial"/>
          <w:color w:val="000000"/>
          <w:sz w:val="16"/>
        </w:rPr>
        <w:t xml:space="preserve"> </w:t>
      </w:r>
      <w:r>
        <w:rPr>
          <w:rFonts w:ascii="Arial" w:eastAsia="Arial" w:hAnsi="Arial"/>
          <w:color w:val="000000"/>
          <w:sz w:val="26"/>
        </w:rPr>
        <w:t>Under our law, with certain exceptions not applicable here, unlawfully accepting bets from members of the public as a business, rather than in a casual or personal fashion, upon the outcomes of future contingent events is not authorized by law.</w:t>
      </w:r>
    </w:p>
    <w:p w14:paraId="68FEF1C8" w14:textId="77777777" w:rsidR="004F2FD7" w:rsidRDefault="0013469A">
      <w:pPr>
        <w:spacing w:before="296" w:line="294" w:lineRule="exact"/>
        <w:textAlignment w:val="baseline"/>
        <w:rPr>
          <w:rFonts w:ascii="Arial" w:eastAsia="Arial" w:hAnsi="Arial"/>
          <w:i/>
          <w:color w:val="000000"/>
          <w:sz w:val="26"/>
        </w:rPr>
      </w:pPr>
      <w:r>
        <w:rPr>
          <w:rFonts w:ascii="Arial" w:eastAsia="Arial" w:hAnsi="Arial"/>
          <w:i/>
          <w:color w:val="000000"/>
          <w:sz w:val="26"/>
        </w:rPr>
        <w:t xml:space="preserve">[NOTE: Add </w:t>
      </w:r>
      <w:r>
        <w:rPr>
          <w:rFonts w:ascii="Arial" w:eastAsia="Arial" w:hAnsi="Arial"/>
          <w:i/>
          <w:color w:val="000000"/>
          <w:sz w:val="26"/>
        </w:rPr>
        <w:t>if appropriate:</w:t>
      </w:r>
    </w:p>
    <w:p w14:paraId="178E6425" w14:textId="77777777" w:rsidR="004F2FD7" w:rsidRDefault="0013469A">
      <w:pPr>
        <w:spacing w:before="19" w:line="292" w:lineRule="exact"/>
        <w:ind w:firstLine="720"/>
        <w:jc w:val="both"/>
        <w:textAlignment w:val="baseline"/>
        <w:rPr>
          <w:rFonts w:ascii="Arial" w:eastAsia="Arial" w:hAnsi="Arial"/>
          <w:color w:val="000000"/>
          <w:sz w:val="26"/>
        </w:rPr>
      </w:pPr>
      <w:r>
        <w:rPr>
          <w:rFonts w:ascii="Arial" w:eastAsia="Arial" w:hAnsi="Arial"/>
          <w:color w:val="000000"/>
          <w:sz w:val="26"/>
        </w:rPr>
        <w:t>It is a defense to this charge that the writing, paper, instrument or article possessed by the defendant was neither used nor intended to be used in the operation or promotion of a bookmaking scheme or enterprise.]</w:t>
      </w:r>
      <w:proofErr w:type="gramStart"/>
      <w:r>
        <w:rPr>
          <w:rFonts w:ascii="Arial" w:eastAsia="Arial" w:hAnsi="Arial"/>
          <w:color w:val="000000"/>
          <w:sz w:val="26"/>
          <w:vertAlign w:val="superscript"/>
        </w:rPr>
        <w:t>10</w:t>
      </w:r>
      <w:proofErr w:type="gramEnd"/>
      <w:r>
        <w:rPr>
          <w:rFonts w:ascii="Arial" w:eastAsia="Arial" w:hAnsi="Arial"/>
          <w:color w:val="000000"/>
          <w:sz w:val="16"/>
        </w:rPr>
        <w:t xml:space="preserve"> </w:t>
      </w:r>
    </w:p>
    <w:p w14:paraId="4CA494CA" w14:textId="77777777" w:rsidR="004F2FD7" w:rsidRDefault="0013469A">
      <w:pPr>
        <w:spacing w:before="309" w:line="297" w:lineRule="exact"/>
        <w:ind w:firstLine="720"/>
        <w:jc w:val="both"/>
        <w:textAlignment w:val="baseline"/>
        <w:rPr>
          <w:rFonts w:ascii="Arial" w:eastAsia="Arial" w:hAnsi="Arial"/>
          <w:color w:val="000000"/>
          <w:sz w:val="26"/>
        </w:rPr>
      </w:pPr>
      <w:proofErr w:type="gramStart"/>
      <w:r>
        <w:rPr>
          <w:rFonts w:ascii="Arial" w:eastAsia="Arial" w:hAnsi="Arial"/>
          <w:color w:val="000000"/>
          <w:sz w:val="26"/>
        </w:rPr>
        <w:t>In order for</w:t>
      </w:r>
      <w:proofErr w:type="gramEnd"/>
      <w:r>
        <w:rPr>
          <w:rFonts w:ascii="Arial" w:eastAsia="Arial" w:hAnsi="Arial"/>
          <w:color w:val="000000"/>
          <w:sz w:val="26"/>
        </w:rPr>
        <w:t xml:space="preserve"> you to fi</w:t>
      </w:r>
      <w:r>
        <w:rPr>
          <w:rFonts w:ascii="Arial" w:eastAsia="Arial" w:hAnsi="Arial"/>
          <w:color w:val="000000"/>
          <w:sz w:val="26"/>
        </w:rPr>
        <w:t>nd the defendant guilty of this crime, the People are required to prove, from all of the evidence in the case beyond a reasonable doubt, both [each] of the following two [three] elements:</w:t>
      </w:r>
    </w:p>
    <w:p w14:paraId="60ECEFCF" w14:textId="1E8F2B78" w:rsidR="004F2FD7" w:rsidRDefault="0013469A">
      <w:pPr>
        <w:numPr>
          <w:ilvl w:val="0"/>
          <w:numId w:val="1"/>
        </w:numPr>
        <w:tabs>
          <w:tab w:val="clear" w:pos="720"/>
          <w:tab w:val="left" w:pos="1440"/>
        </w:tabs>
        <w:spacing w:before="295" w:line="297" w:lineRule="exact"/>
        <w:ind w:left="720"/>
        <w:jc w:val="both"/>
        <w:textAlignment w:val="baseline"/>
        <w:rPr>
          <w:rFonts w:ascii="Arial" w:eastAsia="Arial" w:hAnsi="Arial"/>
          <w:color w:val="000000"/>
          <w:sz w:val="26"/>
        </w:rPr>
      </w:pPr>
      <w:r>
        <w:rPr>
          <w:rFonts w:ascii="Arial" w:eastAsia="Arial" w:hAnsi="Arial"/>
          <w:color w:val="000000"/>
          <w:sz w:val="26"/>
        </w:rPr>
        <w:t>That on or about (</w:t>
      </w:r>
      <w:r>
        <w:rPr>
          <w:rFonts w:ascii="Arial" w:eastAsia="Arial" w:hAnsi="Arial"/>
          <w:i/>
          <w:color w:val="000000"/>
          <w:sz w:val="26"/>
          <w:u w:val="single"/>
        </w:rPr>
        <w:t>date</w:t>
      </w:r>
      <w:r>
        <w:rPr>
          <w:rFonts w:ascii="Arial" w:eastAsia="Arial" w:hAnsi="Arial"/>
          <w:color w:val="000000"/>
          <w:sz w:val="26"/>
        </w:rPr>
        <w:t>) in the county of (</w:t>
      </w:r>
      <w:r>
        <w:rPr>
          <w:rFonts w:ascii="Arial" w:eastAsia="Arial" w:hAnsi="Arial"/>
          <w:i/>
          <w:color w:val="000000"/>
          <w:sz w:val="26"/>
          <w:u w:val="single"/>
        </w:rPr>
        <w:t>county</w:t>
      </w:r>
      <w:r>
        <w:rPr>
          <w:rFonts w:ascii="Arial" w:eastAsia="Arial" w:hAnsi="Arial"/>
          <w:color w:val="000000"/>
          <w:sz w:val="26"/>
        </w:rPr>
        <w:t>), the defendant (</w:t>
      </w:r>
      <w:r>
        <w:rPr>
          <w:rFonts w:ascii="Arial" w:eastAsia="Arial" w:hAnsi="Arial"/>
          <w:i/>
          <w:color w:val="000000"/>
          <w:sz w:val="26"/>
          <w:u w:val="single"/>
        </w:rPr>
        <w:t>de</w:t>
      </w:r>
      <w:r>
        <w:rPr>
          <w:rFonts w:ascii="Arial" w:eastAsia="Arial" w:hAnsi="Arial"/>
          <w:i/>
          <w:color w:val="000000"/>
          <w:sz w:val="26"/>
          <w:u w:val="single"/>
        </w:rPr>
        <w:t>fendant’s name</w:t>
      </w:r>
      <w:r>
        <w:rPr>
          <w:rFonts w:ascii="Arial" w:eastAsia="Arial" w:hAnsi="Arial"/>
          <w:color w:val="000000"/>
          <w:sz w:val="26"/>
        </w:rPr>
        <w:t>) possessed a writing, paper, instrument,</w:t>
      </w:r>
      <w:r>
        <w:rPr>
          <w:rFonts w:ascii="Arial" w:eastAsia="Arial" w:hAnsi="Arial"/>
          <w:color w:val="000000"/>
          <w:sz w:val="26"/>
        </w:rPr>
        <w:t xml:space="preserve"> or article of a kind commonly used in the operation or promotion of a bookmaking scheme or enterprise; [and</w:t>
      </w:r>
      <w:r>
        <w:rPr>
          <w:rFonts w:ascii="Arial" w:eastAsia="Arial" w:hAnsi="Arial"/>
          <w:color w:val="000000"/>
          <w:sz w:val="26"/>
        </w:rPr>
        <w:t>]</w:t>
      </w:r>
    </w:p>
    <w:p w14:paraId="7CB8BDA6" w14:textId="47952ADC" w:rsidR="004F2FD7" w:rsidRDefault="0013469A">
      <w:pPr>
        <w:numPr>
          <w:ilvl w:val="0"/>
          <w:numId w:val="1"/>
        </w:numPr>
        <w:tabs>
          <w:tab w:val="clear" w:pos="720"/>
          <w:tab w:val="left" w:pos="1440"/>
        </w:tabs>
        <w:spacing w:before="303" w:line="297" w:lineRule="exact"/>
        <w:ind w:left="720"/>
        <w:jc w:val="both"/>
        <w:textAlignment w:val="baseline"/>
        <w:rPr>
          <w:rFonts w:ascii="Arial" w:eastAsia="Arial" w:hAnsi="Arial"/>
          <w:color w:val="000000"/>
          <w:sz w:val="26"/>
        </w:rPr>
      </w:pPr>
      <w:r>
        <w:rPr>
          <w:rFonts w:ascii="Arial" w:eastAsia="Arial" w:hAnsi="Arial"/>
          <w:color w:val="000000"/>
          <w:sz w:val="26"/>
        </w:rPr>
        <w:t>That the defendant possessed the writing, paper, instrument,</w:t>
      </w:r>
      <w:r>
        <w:rPr>
          <w:rFonts w:ascii="Arial" w:eastAsia="Arial" w:hAnsi="Arial"/>
          <w:color w:val="000000"/>
          <w:sz w:val="26"/>
        </w:rPr>
        <w:t xml:space="preserve"> or article with knowledge of its contents or nature.</w:t>
      </w:r>
    </w:p>
    <w:p w14:paraId="56508742" w14:textId="77777777" w:rsidR="004F2FD7" w:rsidRDefault="0013469A">
      <w:pPr>
        <w:spacing w:before="6" w:line="590" w:lineRule="exact"/>
        <w:textAlignment w:val="baseline"/>
        <w:rPr>
          <w:rFonts w:ascii="Arial" w:eastAsia="Arial" w:hAnsi="Arial"/>
          <w:i/>
          <w:color w:val="000000"/>
          <w:sz w:val="26"/>
        </w:rPr>
      </w:pPr>
      <w:r>
        <w:rPr>
          <w:rFonts w:ascii="Arial" w:eastAsia="Arial" w:hAnsi="Arial"/>
          <w:i/>
          <w:color w:val="000000"/>
          <w:sz w:val="26"/>
        </w:rPr>
        <w:t xml:space="preserve">[NOTE: Add </w:t>
      </w:r>
      <w:r>
        <w:rPr>
          <w:rFonts w:ascii="Arial" w:eastAsia="Arial" w:hAnsi="Arial"/>
          <w:color w:val="000000"/>
          <w:sz w:val="26"/>
        </w:rPr>
        <w:t xml:space="preserve">if applicable: </w:t>
      </w:r>
      <w:r>
        <w:rPr>
          <w:rFonts w:ascii="Arial" w:eastAsia="Arial" w:hAnsi="Arial"/>
          <w:color w:val="000000"/>
          <w:sz w:val="26"/>
        </w:rPr>
        <w:br/>
        <w:t>and</w:t>
      </w:r>
    </w:p>
    <w:p w14:paraId="6A61D5DA" w14:textId="77777777" w:rsidR="004F2FD7" w:rsidRDefault="0013469A">
      <w:pPr>
        <w:numPr>
          <w:ilvl w:val="0"/>
          <w:numId w:val="1"/>
        </w:numPr>
        <w:tabs>
          <w:tab w:val="clear" w:pos="720"/>
          <w:tab w:val="left" w:pos="1440"/>
        </w:tabs>
        <w:spacing w:before="305" w:after="280" w:line="295" w:lineRule="exact"/>
        <w:ind w:left="720"/>
        <w:jc w:val="both"/>
        <w:textAlignment w:val="baseline"/>
        <w:rPr>
          <w:rFonts w:ascii="Arial" w:eastAsia="Arial" w:hAnsi="Arial"/>
          <w:color w:val="000000"/>
          <w:sz w:val="26"/>
        </w:rPr>
      </w:pPr>
      <w:r>
        <w:rPr>
          <w:rFonts w:ascii="Arial" w:eastAsia="Arial" w:hAnsi="Arial"/>
          <w:color w:val="000000"/>
          <w:sz w:val="26"/>
        </w:rPr>
        <w:t xml:space="preserve">That the writing, paper, instrument, or article possessed was used, or intended to be used, in the operation or </w:t>
      </w:r>
      <w:r>
        <w:rPr>
          <w:rFonts w:ascii="Arial" w:eastAsia="Arial" w:hAnsi="Arial"/>
          <w:color w:val="000000"/>
          <w:sz w:val="26"/>
        </w:rPr>
        <w:t>promotion of a bookmaking scheme or enterprise.]</w:t>
      </w:r>
    </w:p>
    <w:p w14:paraId="4655F518" w14:textId="77777777" w:rsidR="004F2FD7" w:rsidRDefault="0013469A">
      <w:pPr>
        <w:spacing w:line="505" w:lineRule="exact"/>
        <w:textAlignment w:val="baseline"/>
        <w:rPr>
          <w:rFonts w:ascii="Arial" w:eastAsia="Arial" w:hAnsi="Arial"/>
          <w:color w:val="000000"/>
          <w:sz w:val="14"/>
          <w:vertAlign w:val="superscript"/>
        </w:rPr>
      </w:pPr>
      <w:r>
        <w:pict w14:anchorId="2715AE3F">
          <v:line id="_x0000_s1026" style="position:absolute;z-index:251658752;mso-position-horizontal-relative:page;mso-position-vertical-relative:page" from="107.65pt,609.85pt" to="252.05pt,609.85pt" strokeweight=".95pt">
            <w10:wrap anchorx="page" anchory="page"/>
          </v:line>
        </w:pict>
      </w:r>
      <w:r>
        <w:rPr>
          <w:rFonts w:ascii="Arial" w:eastAsia="Arial" w:hAnsi="Arial"/>
          <w:color w:val="000000"/>
          <w:sz w:val="14"/>
          <w:vertAlign w:val="superscript"/>
        </w:rPr>
        <w:t>8</w:t>
      </w:r>
      <w:r>
        <w:rPr>
          <w:rFonts w:ascii="Arial" w:eastAsia="Arial" w:hAnsi="Arial"/>
          <w:color w:val="000000"/>
          <w:sz w:val="18"/>
        </w:rPr>
        <w:t xml:space="preserve">Penal Law §225.00(4). </w:t>
      </w:r>
      <w:r>
        <w:rPr>
          <w:rFonts w:ascii="Arial" w:eastAsia="Arial" w:hAnsi="Arial"/>
          <w:color w:val="000000"/>
          <w:sz w:val="18"/>
        </w:rPr>
        <w:br/>
      </w:r>
      <w:r>
        <w:rPr>
          <w:rFonts w:ascii="Arial" w:eastAsia="Arial" w:hAnsi="Arial"/>
          <w:color w:val="000000"/>
          <w:sz w:val="14"/>
          <w:vertAlign w:val="superscript"/>
        </w:rPr>
        <w:t>9</w:t>
      </w:r>
      <w:r>
        <w:rPr>
          <w:rFonts w:ascii="Arial" w:eastAsia="Arial" w:hAnsi="Arial"/>
          <w:color w:val="000000"/>
          <w:sz w:val="18"/>
        </w:rPr>
        <w:t>Penal Law §225.00(12)</w:t>
      </w:r>
      <w:r>
        <w:rPr>
          <w:rFonts w:ascii="Arial" w:eastAsia="Arial" w:hAnsi="Arial"/>
          <w:color w:val="000000"/>
          <w:sz w:val="24"/>
        </w:rPr>
        <w:t xml:space="preserve">. </w:t>
      </w:r>
      <w:r>
        <w:rPr>
          <w:rFonts w:ascii="Arial" w:eastAsia="Arial" w:hAnsi="Arial"/>
          <w:color w:val="000000"/>
          <w:sz w:val="24"/>
        </w:rPr>
        <w:br/>
      </w:r>
      <w:r>
        <w:rPr>
          <w:rFonts w:ascii="Arial" w:eastAsia="Arial" w:hAnsi="Arial"/>
          <w:color w:val="000000"/>
          <w:sz w:val="14"/>
        </w:rPr>
        <w:t xml:space="preserve">10 </w:t>
      </w:r>
      <w:r>
        <w:rPr>
          <w:rFonts w:ascii="Arial" w:eastAsia="Arial" w:hAnsi="Arial"/>
          <w:color w:val="000000"/>
          <w:sz w:val="18"/>
        </w:rPr>
        <w:t>Penal Law §225.25.</w:t>
      </w:r>
    </w:p>
    <w:p w14:paraId="6AA87EF2" w14:textId="77777777" w:rsidR="004F2FD7" w:rsidRDefault="004F2FD7">
      <w:pPr>
        <w:sectPr w:rsidR="004F2FD7">
          <w:pgSz w:w="12240" w:h="15840"/>
          <w:pgMar w:top="1440" w:right="2147" w:bottom="1307" w:left="2153" w:header="720" w:footer="1488" w:gutter="0"/>
          <w:cols w:space="720"/>
        </w:sectPr>
      </w:pPr>
    </w:p>
    <w:p w14:paraId="5D1AF2F6" w14:textId="77777777" w:rsidR="004F2FD7" w:rsidRDefault="0013469A">
      <w:pPr>
        <w:spacing w:before="13" w:line="297" w:lineRule="exact"/>
        <w:ind w:firstLine="720"/>
        <w:jc w:val="both"/>
        <w:textAlignment w:val="baseline"/>
        <w:rPr>
          <w:rFonts w:ascii="Arial" w:eastAsia="Arial" w:hAnsi="Arial"/>
          <w:color w:val="000000"/>
          <w:sz w:val="26"/>
        </w:rPr>
      </w:pPr>
      <w:r>
        <w:rPr>
          <w:rFonts w:ascii="Arial" w:eastAsia="Arial" w:hAnsi="Arial"/>
          <w:color w:val="000000"/>
          <w:sz w:val="26"/>
        </w:rPr>
        <w:lastRenderedPageBreak/>
        <w:t>If you find the People have proven beyond a reasonable doubt (each / both) of those elements, you must find the defendant guilty of this crime.</w:t>
      </w:r>
    </w:p>
    <w:p w14:paraId="6DE7BA88" w14:textId="669A3F09" w:rsidR="004F2FD7" w:rsidRDefault="0013469A">
      <w:pPr>
        <w:spacing w:before="295" w:line="297" w:lineRule="exact"/>
        <w:ind w:firstLine="720"/>
        <w:jc w:val="both"/>
        <w:textAlignment w:val="baseline"/>
        <w:rPr>
          <w:rFonts w:ascii="Arial" w:eastAsia="Arial" w:hAnsi="Arial"/>
          <w:color w:val="000000"/>
          <w:sz w:val="26"/>
        </w:rPr>
      </w:pPr>
      <w:r>
        <w:rPr>
          <w:rFonts w:ascii="Arial" w:eastAsia="Arial" w:hAnsi="Arial"/>
          <w:color w:val="000000"/>
          <w:sz w:val="26"/>
        </w:rPr>
        <w:t xml:space="preserve">If you find the People have not proven beyond a reasonable doubt (either one / </w:t>
      </w:r>
      <w:proofErr w:type="spellStart"/>
      <w:proofErr w:type="gramStart"/>
      <w:r>
        <w:rPr>
          <w:rFonts w:ascii="Arial" w:eastAsia="Arial" w:hAnsi="Arial"/>
          <w:color w:val="000000"/>
          <w:sz w:val="26"/>
        </w:rPr>
        <w:t>any one</w:t>
      </w:r>
      <w:proofErr w:type="spellEnd"/>
      <w:proofErr w:type="gramEnd"/>
      <w:r>
        <w:rPr>
          <w:rFonts w:ascii="Arial" w:eastAsia="Arial" w:hAnsi="Arial"/>
          <w:color w:val="000000"/>
          <w:sz w:val="26"/>
        </w:rPr>
        <w:t>) or more of those element</w:t>
      </w:r>
      <w:r>
        <w:rPr>
          <w:rFonts w:ascii="Arial" w:eastAsia="Arial" w:hAnsi="Arial"/>
          <w:color w:val="000000"/>
          <w:sz w:val="26"/>
        </w:rPr>
        <w:t>s, you must find the defendant not guilty of this crime.</w:t>
      </w:r>
    </w:p>
    <w:sectPr w:rsidR="004F2FD7">
      <w:pgSz w:w="12240" w:h="15840"/>
      <w:pgMar w:top="1440" w:right="2145" w:bottom="1316" w:left="2155" w:header="720" w:footer="1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68954" w14:textId="77777777" w:rsidR="00000000" w:rsidRDefault="0013469A">
      <w:r>
        <w:separator/>
      </w:r>
    </w:p>
  </w:endnote>
  <w:endnote w:type="continuationSeparator" w:id="0">
    <w:p w14:paraId="75FCE992" w14:textId="77777777" w:rsidR="00000000" w:rsidRDefault="0013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D183" w14:textId="77777777" w:rsidR="004F2FD7" w:rsidRDefault="0013469A">
    <w:pPr>
      <w:tabs>
        <w:tab w:val="left" w:pos="3831"/>
      </w:tabs>
      <w:spacing w:line="273"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Pr>
        <w:rFonts w:eastAsia="Times New Roman"/>
        <w:color w:val="000000"/>
        <w:sz w:val="24"/>
      </w:rPr>
      <w:fldChar w:fldCharType="separate"/>
    </w:r>
    <w:r>
      <w:rPr>
        <w:rFonts w:eastAsia="Times New Roman"/>
        <w:noProof/>
        <w:color w:val="000000"/>
        <w:sz w:val="24"/>
      </w:rPr>
      <w:t>2</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7890" w14:textId="77777777" w:rsidR="00000000" w:rsidRDefault="0013469A">
      <w:r>
        <w:separator/>
      </w:r>
    </w:p>
  </w:footnote>
  <w:footnote w:type="continuationSeparator" w:id="0">
    <w:p w14:paraId="1BA7DAD5" w14:textId="77777777" w:rsidR="00000000" w:rsidRDefault="00134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E14DC"/>
    <w:multiLevelType w:val="multilevel"/>
    <w:tmpl w:val="F4A40116"/>
    <w:lvl w:ilvl="0">
      <w:start w:val="1"/>
      <w:numFmt w:val="decimal"/>
      <w:lvlText w:val="%1."/>
      <w:lvlJc w:val="left"/>
      <w:pPr>
        <w:tabs>
          <w:tab w:val="left" w:pos="720"/>
        </w:tabs>
      </w:pPr>
      <w:rPr>
        <w:rFonts w:ascii="Arial" w:eastAsia="Arial" w:hAnsi="Arial"/>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F2FD7"/>
    <w:rsid w:val="0013469A"/>
    <w:rsid w:val="004F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E9F571"/>
  <w15:docId w15:val="{A72909FA-C7AD-4BF6-94B3-4DD046EC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859</Words>
  <Characters>4898</Characters>
  <Application>Microsoft Office Word</Application>
  <DocSecurity>4</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 Dayian</dc:creator>
  <cp:lastModifiedBy>Michael G Dayian</cp:lastModifiedBy>
  <cp:revision>2</cp:revision>
  <dcterms:created xsi:type="dcterms:W3CDTF">2021-01-28T16:38:00Z</dcterms:created>
  <dcterms:modified xsi:type="dcterms:W3CDTF">2021-01-28T16:38:00Z</dcterms:modified>
</cp:coreProperties>
</file>