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9"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CRIMINAL POSSESSION OF MARIHUANA</w:t>
        <w:br/>
      </w:r>
      <w:r>
        <w:rPr>
          <w:rFonts w:ascii="Arial" w:hAnsi="Arial" w:eastAsia="Arial"/>
          <w:b w:val="true"/>
          <w:strike w:val="false"/>
          <w:color w:val="000000"/>
          <w:spacing w:val="0"/>
          <w:w w:val="100"/>
          <w:sz w:val="28"/>
          <w:vertAlign w:val="baseline"/>
          <w:lang w:val="en-US"/>
        </w:rPr>
        <w:t xml:space="preserve">IN THE FOURTH DEGREE</w:t>
        <w:br/>
      </w:r>
      <w:r>
        <w:rPr>
          <w:rFonts w:ascii="Arial" w:hAnsi="Arial" w:eastAsia="Arial"/>
          <w:b w:val="true"/>
          <w:strike w:val="false"/>
          <w:color w:val="000000"/>
          <w:spacing w:val="0"/>
          <w:w w:val="100"/>
          <w:sz w:val="28"/>
          <w:vertAlign w:val="baseline"/>
          <w:lang w:val="en-US"/>
        </w:rPr>
        <w:t xml:space="preserve">(More than 2 ounces)</w:t>
        <w:br/>
      </w:r>
      <w:r>
        <w:rPr>
          <w:rFonts w:ascii="Arial" w:hAnsi="Arial" w:eastAsia="Arial"/>
          <w:b w:val="true"/>
          <w:strike w:val="false"/>
          <w:color w:val="000000"/>
          <w:spacing w:val="0"/>
          <w:w w:val="100"/>
          <w:sz w:val="28"/>
          <w:vertAlign w:val="baseline"/>
          <w:lang w:val="en-US"/>
        </w:rPr>
        <w:t xml:space="preserve">Penal Law § 221.15</w:t>
        <w:br/>
      </w:r>
      <w:r>
        <w:rPr>
          <w:rFonts w:ascii="Arial" w:hAnsi="Arial" w:eastAsia="Arial"/>
          <w:b w:val="true"/>
          <w:strike w:val="false"/>
          <w:color w:val="000000"/>
          <w:spacing w:val="0"/>
          <w:w w:val="100"/>
          <w:sz w:val="28"/>
          <w:vertAlign w:val="baseline"/>
          <w:lang w:val="en-US"/>
        </w:rPr>
        <w:t xml:space="preserve">(Committed on or after June 10, 1995)</w:t>
      </w:r>
    </w:p>
    <w:p>
      <w:pPr>
        <w:pageBreakBefore w:val="false"/>
        <w:spacing w:before="644"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Criminal Possession of Marihuana in the Fourth Degree.</w:t>
      </w:r>
    </w:p>
    <w:p>
      <w:pPr>
        <w:pageBreakBefore w:val="false"/>
        <w:spacing w:before="315"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Criminal Possession of Marihuana in the Fourth Degree when that person knowingly and unlawfully possesses one or more preparations, compounds, mixtures or substances containing marihuana and the preparations, compounds, mixtures or substances are of an aggregate weight of more than two ounces.</w:t>
      </w:r>
    </w:p>
    <w:p>
      <w:pPr>
        <w:pageBreakBefore w:val="false"/>
        <w:spacing w:before="323"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Some of the terms used in this definition have their own special meaning in our law. I will now give you the meaning of the following terms: "possess," "knowingly," "unlawfully," and "aggregate weight."</w:t>
      </w:r>
    </w:p>
    <w:p>
      <w:pPr>
        <w:pageBreakBefore w:val="false"/>
        <w:spacing w:before="321" w:after="0"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POSSESS means to have physical possession or otherwise to exercise dominion or control over tangible property.</w:t>
      </w:r>
      <w:r>
        <w:rPr>
          <w:rFonts w:ascii="Arial" w:hAnsi="Arial" w:eastAsia="Arial"/>
          <w:strike w:val="false"/>
          <w:color w:val="000000"/>
          <w:spacing w:val="-4"/>
          <w:w w:val="100"/>
          <w:sz w:val="28"/>
          <w:vertAlign w:val="superscript"/>
          <w:lang w:val="en-US"/>
        </w:rPr>
        <w:t xml:space="preserve">1</w:t>
      </w:r>
      <w:r>
        <w:rPr>
          <w:rFonts w:ascii="Arial" w:hAnsi="Arial" w:eastAsia="Arial"/>
          <w:strike w:val="false"/>
          <w:color w:val="000000"/>
          <w:spacing w:val="-4"/>
          <w:w w:val="100"/>
          <w:sz w:val="17"/>
          <w:vertAlign w:val="baseline"/>
          <w:lang w:val="en-US"/>
        </w:rPr>
        <w:t xml:space="preserve">
</w:t>
      </w:r>
    </w:p>
    <w:p>
      <w:pPr>
        <w:pageBreakBefore w:val="false"/>
        <w:spacing w:before="321"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KNOWINGLY possesses a substance containing marihuana when that person is aware that he or she is in possession of a substance containing marihuana.</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21" w:after="1314" w:line="325" w:lineRule="exact"/>
        <w:ind w:right="0" w:left="720" w:firstLine="0"/>
        <w:jc w:val="both"/>
        <w:textAlignment w:val="baseline"/>
        <w:rPr>
          <w:rFonts w:ascii="Arial" w:hAnsi="Arial" w:eastAsia="Arial"/>
          <w:strike w:val="false"/>
          <w:color w:val="000000"/>
          <w:spacing w:val="-6"/>
          <w:w w:val="100"/>
          <w:sz w:val="28"/>
          <w:vertAlign w:val="baseline"/>
          <w:lang w:val="en-US"/>
        </w:rPr>
      </w:pPr>
      <w:r>
        <w:rPr>
          <w:rFonts w:ascii="Arial" w:hAnsi="Arial" w:eastAsia="Arial"/>
          <w:strike w:val="false"/>
          <w:color w:val="000000"/>
          <w:spacing w:val="-6"/>
          <w:w w:val="100"/>
          <w:sz w:val="28"/>
          <w:vertAlign w:val="baseline"/>
          <w:lang w:val="en-US"/>
        </w:rPr>
        <w:t xml:space="preserve">A person UNLAWFULLY possesses a substance containing</w:t>
      </w:r>
    </w:p>
    <w:p>
      <w:pPr>
        <w:pageBreakBefore w:val="false"/>
        <w:spacing w:before="260" w:after="0" w:line="277" w:lineRule="exact"/>
        <w:ind w:right="576" w:left="0" w:firstLine="720"/>
        <w:jc w:val="left"/>
        <w:textAlignment w:val="baseline"/>
        <w:rPr>
          <w:rFonts w:ascii="Arial" w:hAnsi="Arial" w:eastAsia="Arial"/>
          <w:strike w:val="false"/>
          <w:color w:val="000000"/>
          <w:spacing w:val="-1"/>
          <w:w w:val="100"/>
          <w:sz w:val="17"/>
          <w:vertAlign w:val="superscript"/>
          <w:lang w:val="en-US"/>
        </w:rPr>
      </w:pPr>
      <w:r>
        <w:pict>
          <v:line strokeweight="1.2pt" strokecolor="#000000" from="108pt,626.65pt" to="252.05pt,626.65pt" style="position:absolute;mso-position-horizontal-relative:page;mso-position-vertical-relative:page;">
            <v:stroke dashstyle="solid"/>
          </v:line>
        </w:pict>
      </w:r>
      <w:r>
        <w:rPr>
          <w:rFonts w:ascii="Arial" w:hAnsi="Arial" w:eastAsia="Arial"/>
          <w:strike w:val="false"/>
          <w:color w:val="000000"/>
          <w:spacing w:val="-1"/>
          <w:w w:val="100"/>
          <w:sz w:val="17"/>
          <w:vertAlign w:val="superscript"/>
          <w:lang w:val="en-US"/>
        </w:rPr>
        <w:t xml:space="preserve">1</w:t>
      </w:r>
      <w:r>
        <w:rPr>
          <w:rFonts w:ascii="Arial" w:hAnsi="Arial" w:eastAsia="Arial"/>
          <w:i w:val="true"/>
          <w:strike w:val="false"/>
          <w:color w:val="000000"/>
          <w:spacing w:val="-1"/>
          <w:w w:val="100"/>
          <w:sz w:val="24"/>
          <w:vertAlign w:val="baseline"/>
          <w:lang w:val="en-US"/>
        </w:rPr>
        <w:t xml:space="preserve">See </w:t>
      </w:r>
      <w:r>
        <w:rPr>
          <w:rFonts w:ascii="Arial" w:hAnsi="Arial" w:eastAsia="Arial"/>
          <w:strike w:val="false"/>
          <w:color w:val="000000"/>
          <w:spacing w:val="-1"/>
          <w:w w:val="100"/>
          <w:sz w:val="24"/>
          <w:vertAlign w:val="baseline"/>
          <w:lang w:val="en-US"/>
        </w:rPr>
        <w:t xml:space="preserve">Penal Law § 10.00(8). Where constructive possession is alleged, or where the People rely on a statutory presumption of possession, insert the appropriate instruction from the "Additional Charges" section at the end of the charges for Penal Law article 220.</w:t>
      </w:r>
    </w:p>
    <w:p>
      <w:pPr>
        <w:pageBreakBefore w:val="false"/>
        <w:spacing w:before="235" w:after="0" w:line="277" w:lineRule="exact"/>
        <w:ind w:right="0" w:left="720" w:firstLine="0"/>
        <w:jc w:val="left"/>
        <w:textAlignment w:val="baseline"/>
        <w:rPr>
          <w:rFonts w:ascii="Arial" w:hAnsi="Arial" w:eastAsia="Arial"/>
          <w:strike w:val="false"/>
          <w:color w:val="000000"/>
          <w:spacing w:val="0"/>
          <w:w w:val="100"/>
          <w:sz w:val="17"/>
          <w:vertAlign w:val="superscript"/>
          <w:lang w:val="en-US"/>
        </w:rPr>
      </w:pPr>
      <w:r>
        <w:rPr>
          <w:rFonts w:ascii="Arial" w:hAnsi="Arial" w:eastAsia="Arial"/>
          <w:strike w:val="false"/>
          <w:color w:val="000000"/>
          <w:spacing w:val="0"/>
          <w:w w:val="100"/>
          <w:sz w:val="17"/>
          <w:vertAlign w:val="superscript"/>
          <w:lang w:val="en-US"/>
        </w:rPr>
        <w:t xml:space="preserve">2</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15.05(2).</w:t>
      </w:r>
    </w:p>
    <w:p>
      <w:pPr>
        <w:sectPr>
          <w:type w:val="nextPage"/>
          <w:pgSz w:w="12240" w:h="15840" w:orient="portrait"/>
          <w:pgMar w:bottom="984" w:top="1440" w:right="2140" w:left="2160" w:header="720" w:footer="720"/>
          <w:titlePg w:val="false"/>
          <w:textDirection w:val="lrTb"/>
        </w:sectPr>
      </w:pPr>
    </w:p>
    <w:p>
      <w:pPr>
        <w:pageBreakBefore w:val="false"/>
        <w:spacing w:before="34" w:after="0" w:line="328"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marihuana when that person has no legal right to possess it.</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r>
        <w:rPr>
          <w:rFonts w:ascii="Arial" w:hAnsi="Arial" w:eastAsia="Arial"/>
          <w:strike w:val="false"/>
          <w:color w:val="000000"/>
          <w:spacing w:val="0"/>
          <w:w w:val="100"/>
          <w:sz w:val="28"/>
          <w:vertAlign w:val="baseline"/>
          <w:lang w:val="en-US"/>
        </w:rPr>
        <w:t xml:space="preserve">Under our law, with certain exceptions not applicable here, a person has no legal right to possess marihuana.</w:t>
      </w:r>
    </w:p>
    <w:p>
      <w:pPr>
        <w:pageBreakBefore w:val="false"/>
        <w:spacing w:before="327"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AGGREGATE WEIGHT refers to the weight of the substance which contains the marihuana, irrespective of the amount of the marihuana actually in the substance. </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22"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numPr>
          <w:ilvl w:val="0"/>
          <w:numId w:val="1"/>
        </w:numPr>
        <w:tabs>
          <w:tab w:val="clear" w:pos="720"/>
          <w:tab w:val="left" w:pos="1440"/>
        </w:tabs>
        <w:spacing w:before="331" w:after="0" w:line="323"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in the county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 the defendant,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 possessed one or more preparations, compounds, mixtures or substances containing marihuana;</w:t>
      </w:r>
    </w:p>
    <w:p>
      <w:pPr>
        <w:pageBreakBefore w:val="false"/>
        <w:numPr>
          <w:ilvl w:val="0"/>
          <w:numId w:val="1"/>
        </w:numPr>
        <w:tabs>
          <w:tab w:val="clear" w:pos="720"/>
          <w:tab w:val="left" w:pos="1440"/>
        </w:tabs>
        <w:spacing w:before="327" w:after="0" w:line="321"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knowingly and unlawfully; and</w:t>
      </w:r>
    </w:p>
    <w:p>
      <w:pPr>
        <w:pageBreakBefore w:val="false"/>
        <w:numPr>
          <w:ilvl w:val="0"/>
          <w:numId w:val="1"/>
        </w:numPr>
        <w:tabs>
          <w:tab w:val="clear" w:pos="720"/>
          <w:tab w:val="left" w:pos="1440"/>
        </w:tabs>
        <w:spacing w:before="321" w:after="0" w:line="327"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in the aggregate, the substance weighed more than two ounces.</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1335"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250" w:after="0" w:line="281" w:lineRule="exact"/>
        <w:ind w:right="144" w:left="0" w:firstLine="720"/>
        <w:jc w:val="both"/>
        <w:textAlignment w:val="baseline"/>
        <w:rPr>
          <w:rFonts w:ascii="Arial" w:hAnsi="Arial" w:eastAsia="Arial"/>
          <w:strike w:val="false"/>
          <w:color w:val="000000"/>
          <w:spacing w:val="0"/>
          <w:w w:val="100"/>
          <w:sz w:val="17"/>
          <w:vertAlign w:val="superscript"/>
          <w:lang w:val="en-US"/>
        </w:rPr>
      </w:pPr>
      <w:r>
        <w:pict>
          <v:line strokeweight="0.95pt" strokecolor="#000000" from="107.85pt,625.9pt" to="252.05pt,625.9pt" style="position:absolute;mso-position-horizontal-relative:page;mso-position-vertical-relative:page;">
            <v:stroke dashstyle="solid"/>
          </v:line>
        </w:pict>
      </w:r>
      <w:r>
        <w:rPr>
          <w:rFonts w:ascii="Arial" w:hAnsi="Arial" w:eastAsia="Arial"/>
          <w:strike w:val="false"/>
          <w:color w:val="000000"/>
          <w:spacing w:val="0"/>
          <w:w w:val="100"/>
          <w:sz w:val="17"/>
          <w:vertAlign w:val="superscript"/>
          <w:lang w:val="en-US"/>
        </w:rPr>
        <w:t xml:space="preserve">3</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§§221.00 and 220.00(2), and Public Health Law § 3304 and § 3396(1).</w:t>
      </w:r>
    </w:p>
    <w:p>
      <w:pPr>
        <w:pageBreakBefore w:val="false"/>
        <w:spacing w:before="251" w:after="0" w:line="298" w:lineRule="exact"/>
        <w:ind w:right="0" w:left="720" w:firstLine="0"/>
        <w:jc w:val="left"/>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4 </w:t>
      </w:r>
      <w:r>
        <w:rPr>
          <w:rFonts w:ascii="Arial" w:hAnsi="Arial" w:eastAsia="Arial"/>
          <w:i w:val="true"/>
          <w:strike w:val="false"/>
          <w:color w:val="000000"/>
          <w:spacing w:val="0"/>
          <w:w w:val="100"/>
          <w:sz w:val="24"/>
          <w:vertAlign w:val="baseline"/>
          <w:lang w:val="en-US"/>
        </w:rPr>
        <w:t xml:space="preserve">See People v. Mendoza</w:t>
      </w:r>
      <w:r>
        <w:rPr>
          <w:rFonts w:ascii="Arial" w:hAnsi="Arial" w:eastAsia="Arial"/>
          <w:strike w:val="false"/>
          <w:color w:val="000000"/>
          <w:spacing w:val="0"/>
          <w:w w:val="100"/>
          <w:sz w:val="24"/>
          <w:vertAlign w:val="baseline"/>
          <w:lang w:val="en-US"/>
        </w:rPr>
        <w:t xml:space="preserve">, 81 N.Y.2d 963, 965 (1993).</w:t>
      </w:r>
    </w:p>
    <w:p>
      <w:pPr>
        <w:pageBreakBefore w:val="false"/>
        <w:spacing w:before="263" w:after="0"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w:t>
      </w:r>
    </w:p>
    <w:sectPr>
      <w:type w:val="nextPage"/>
      <w:pgSz w:w="12240" w:h="15840" w:orient="portrait"/>
      <w:pgMar w:bottom="1024" w:top="1400" w:right="2143" w:left="2157"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