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SALE OF A CONTROLLED SUBSTANCE</w:t>
        <w:br/>
      </w:r>
      <w:r>
        <w:rPr>
          <w:rFonts w:ascii="Arial" w:hAnsi="Arial" w:eastAsia="Arial"/>
          <w:b w:val="true"/>
          <w:color w:val="000000"/>
          <w:spacing w:val="0"/>
          <w:w w:val="100"/>
          <w:sz w:val="28"/>
          <w:vertAlign w:val="baseline"/>
          <w:lang w:val="en-US"/>
        </w:rPr>
        <w:t xml:space="preserve">IN THE FIFTH DEGREE</w:t>
        <w:br/>
      </w:r>
      <w:r>
        <w:rPr>
          <w:rFonts w:ascii="Arial" w:hAnsi="Arial" w:eastAsia="Arial"/>
          <w:b w:val="true"/>
          <w:color w:val="000000"/>
          <w:spacing w:val="0"/>
          <w:w w:val="100"/>
          <w:sz w:val="28"/>
          <w:vertAlign w:val="baseline"/>
          <w:lang w:val="en-US"/>
        </w:rPr>
        <w:t xml:space="preserve">Penal Law § 220.31</w:t>
        <w:br/>
      </w:r>
      <w:r>
        <w:rPr>
          <w:rFonts w:ascii="Arial" w:hAnsi="Arial" w:eastAsia="Arial"/>
          <w:b w:val="true"/>
          <w:color w:val="000000"/>
          <w:spacing w:val="0"/>
          <w:w w:val="100"/>
          <w:sz w:val="28"/>
          <w:vertAlign w:val="baseline"/>
          <w:lang w:val="en-US"/>
        </w:rPr>
        <w:t xml:space="preserve">(Committed on or after Sept. 1, 1979)</w:t>
        <w:br/>
      </w:r>
      <w:r>
        <w:rPr>
          <w:rFonts w:ascii="Arial" w:hAnsi="Arial" w:eastAsia="Arial"/>
          <w:b w:val="true"/>
          <w:color w:val="000000"/>
          <w:spacing w:val="0"/>
          <w:w w:val="100"/>
          <w:sz w:val="28"/>
          <w:vertAlign w:val="baseline"/>
          <w:lang w:val="en-US"/>
        </w:rPr>
        <w:t xml:space="preserve">(Revised April 4, 2003)</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Sale of a Controlled Substance in the Fifth Degree.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Sale of a Controlled Substance in the Fifth Degree when that person knowingly and unlawfully sells a controlled substance.</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19"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term CONTROLLED SUBSTANCE includes </w:t>
      </w:r>
      <w:r>
        <w:rPr>
          <w:rFonts w:ascii="Arial" w:hAnsi="Arial" w:eastAsia="Arial"/>
          <w:i w:val="true"/>
          <w:color w:val="000000"/>
          <w:spacing w:val="-4"/>
          <w:w w:val="100"/>
          <w:sz w:val="23"/>
          <w:u w:val="single"/>
          <w:vertAlign w:val="baseline"/>
          <w:lang w:val="en-US"/>
        </w:rPr>
        <w:t xml:space="preserve"> (specify) </w:t>
      </w:r>
      <w:r>
        <w:rPr>
          <w:rFonts w:ascii="Arial" w:hAnsi="Arial" w:eastAsia="Arial"/>
          <w:color w:val="000000"/>
          <w:spacing w:val="-4"/>
          <w:w w:val="100"/>
          <w:sz w:val="28"/>
          <w:vertAlign w:val="baseline"/>
          <w:lang w:val="en-US"/>
        </w:rPr>
        <w:t xml:space="preserve"> .</w:t>
      </w:r>
      <w:r>
        <w:rPr>
          <w:rFonts w:ascii="Arial" w:hAnsi="Arial" w:eastAsia="Arial"/>
          <w:color w:val="000000"/>
          <w:spacing w:val="-4"/>
          <w:w w:val="100"/>
          <w:sz w:val="17"/>
          <w:vertAlign w:val="baseline"/>
          <w:lang w:val="en-US"/>
        </w:rPr>
        <w:t xml:space="preserve">2</w:t>
      </w:r>
    </w:p>
    <w:p>
      <w:pPr>
        <w:pageBreakBefore w:val="false"/>
        <w:spacing w:before="33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means to sell, exchange, give or dispose of to another.</w:t>
      </w:r>
    </w:p>
    <w:p>
      <w:pPr>
        <w:pageBreakBefore w:val="false"/>
        <w:spacing w:before="32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2" w:after="1329"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sells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when that person is aware that he or she is selling a substance which contains</w:t>
      </w:r>
    </w:p>
    <w:p>
      <w:pPr>
        <w:pageBreakBefore w:val="false"/>
        <w:spacing w:before="259" w:after="0" w:line="275"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627.6pt" to="252.05pt,627.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revision was for the purpose of re-defining the term “sale” as it applied to an offer or agreement to sell.</w:t>
      </w:r>
    </w:p>
    <w:p>
      <w:pPr>
        <w:pageBreakBefore w:val="false"/>
        <w:spacing w:before="240" w:after="0" w:line="274"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220.00(5).</w:t>
      </w:r>
    </w:p>
    <w:p>
      <w:pPr>
        <w:pageBreakBefore w:val="false"/>
        <w:spacing w:before="248" w:after="0" w:line="297"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3</w:t>
      </w:r>
      <w:r>
        <w:rPr>
          <w:rFonts w:ascii="Arial" w:hAnsi="Arial" w:eastAsia="Arial"/>
          <w:i w:val="true"/>
          <w:color w:val="000000"/>
          <w:spacing w:val="-2"/>
          <w:w w:val="100"/>
          <w:sz w:val="26"/>
          <w:vertAlign w:val="baseline"/>
          <w:lang w:val="en-US"/>
        </w:rPr>
        <w:t xml:space="preserve"> See </w:t>
      </w:r>
      <w:r>
        <w:rPr>
          <w:rFonts w:ascii="Arial" w:hAnsi="Arial" w:eastAsia="Arial"/>
          <w:color w:val="000000"/>
          <w:spacing w:val="-2"/>
          <w:w w:val="100"/>
          <w:sz w:val="26"/>
          <w:vertAlign w:val="baseline"/>
          <w:lang w:val="en-US"/>
        </w:rPr>
        <w:t xml:space="preserve">Penal Law § 220.00(1); </w:t>
      </w:r>
      <w:r>
        <w:rPr>
          <w:rFonts w:ascii="Arial" w:hAnsi="Arial" w:eastAsia="Arial"/>
          <w:i w:val="true"/>
          <w:color w:val="000000"/>
          <w:spacing w:val="-2"/>
          <w:w w:val="100"/>
          <w:sz w:val="26"/>
          <w:vertAlign w:val="baseline"/>
          <w:lang w:val="en-US"/>
        </w:rPr>
        <w:t xml:space="preserve">People v. Samuels</w:t>
      </w:r>
      <w:r>
        <w:rPr>
          <w:rFonts w:ascii="Arial" w:hAnsi="Arial" w:eastAsia="Arial"/>
          <w:color w:val="000000"/>
          <w:spacing w:val="-2"/>
          <w:w w:val="100"/>
          <w:sz w:val="26"/>
          <w:vertAlign w:val="baseline"/>
          <w:lang w:val="en-US"/>
        </w:rPr>
        <w:t xml:space="preserve">, </w:t>
      </w:r>
      <w:r>
        <w:rPr>
          <w:rFonts w:ascii="Arial" w:hAnsi="Arial" w:eastAsia="Arial"/>
          <w:color w:val="000000"/>
          <w:spacing w:val="-2"/>
          <w:w w:val="100"/>
          <w:sz w:val="24"/>
          <w:vertAlign w:val="baseline"/>
          <w:lang w:val="en-US"/>
        </w:rPr>
        <w:t xml:space="preserve">99 N.Y.2d 20 (2002).</w:t>
      </w:r>
    </w:p>
    <w:p>
      <w:pPr>
        <w:sectPr>
          <w:type w:val="nextPage"/>
          <w:pgSz w:w="12240" w:h="15840" w:orient="portrait"/>
          <w:pgMar w:bottom="984" w:top="1440" w:right="2140" w:left="2160" w:header="720" w:footer="720"/>
          <w:titlePg w:val="false"/>
          <w:textDirection w:val="lrTb"/>
        </w:sectPr>
      </w:pPr>
    </w:p>
    <w:p>
      <w:pPr>
        <w:pageBreakBefore w:val="false"/>
        <w:spacing w:before="217" w:after="0" w:line="319" w:lineRule="exact"/>
        <w:ind w:right="0" w:left="0" w:firstLine="0"/>
        <w:jc w:val="left"/>
        <w:textAlignment w:val="baseline"/>
        <w:rPr>
          <w:rFonts w:ascii="Arial" w:hAnsi="Arial" w:eastAsia="Arial"/>
          <w:i w:val="true"/>
          <w:color w:val="000000"/>
          <w:spacing w:val="-8"/>
          <w:w w:val="100"/>
          <w:sz w:val="23"/>
          <w:u w:val="single"/>
          <w:vertAlign w:val="baseline"/>
          <w:lang w:val="en-US"/>
        </w:rPr>
      </w:pPr>
      <w:r>
        <w:rPr>
          <w:rFonts w:ascii="Arial" w:hAnsi="Arial" w:eastAsia="Arial"/>
          <w:i w:val="true"/>
          <w:color w:val="000000"/>
          <w:spacing w:val="-8"/>
          <w:w w:val="100"/>
          <w:sz w:val="23"/>
          <w:u w:val="single"/>
          <w:vertAlign w:val="baseline"/>
          <w:lang w:val="en-US"/>
        </w:rPr>
        <w:t xml:space="preserve">(specify)</w:t>
      </w:r>
      <w:r>
        <w:rPr>
          <w:rFonts w:ascii="Arial" w:hAnsi="Arial" w:eastAsia="Arial"/>
          <w:color w:val="000000"/>
          <w:spacing w:val="-8"/>
          <w:w w:val="100"/>
          <w:sz w:val="28"/>
          <w:vertAlign w:val="baseline"/>
          <w:lang w:val="en-US"/>
        </w:rPr>
        <w:t xml:space="preserve">.</w:t>
      </w:r>
      <w:r>
        <w:rPr>
          <w:rFonts w:ascii="Arial" w:hAnsi="Arial" w:eastAsia="Arial"/>
          <w:color w:val="000000"/>
          <w:spacing w:val="-8"/>
          <w:w w:val="100"/>
          <w:sz w:val="28"/>
          <w:vertAlign w:val="superscript"/>
          <w:lang w:val="en-US"/>
        </w:rPr>
        <w:t xml:space="preserve">4</w:t>
      </w:r>
      <w:r>
        <w:rPr>
          <w:rFonts w:ascii="Arial" w:hAnsi="Arial" w:eastAsia="Arial"/>
          <w:color w:val="000000"/>
          <w:spacing w:val="-8"/>
          <w:w w:val="100"/>
          <w:sz w:val="17"/>
          <w:vertAlign w:val="baseline"/>
          <w:lang w:val="en-US"/>
        </w:rPr>
        <w:t xml:space="preserve">
</w:t>
      </w:r>
    </w:p>
    <w:p>
      <w:pPr>
        <w:pageBreakBefore w:val="false"/>
        <w:spacing w:before="34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UNLAWFULLY sells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when that person has no legal right to sell that substance.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Under our law, with certain exceptions not applicable here, a person has no legal right to sell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w:t>
      </w:r>
      <w:r>
        <w:rPr>
          <w:rFonts w:ascii="Arial" w:hAnsi="Arial" w:eastAsia="Arial"/>
          <w:color w:val="000000"/>
          <w:spacing w:val="0"/>
          <w:w w:val="100"/>
          <w:sz w:val="28"/>
          <w:vertAlign w:val="baseline"/>
          <w:lang w:val="en-US"/>
        </w:rPr>
        <w:t xml:space="preserve">, sold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and</w:t>
      </w:r>
    </w:p>
    <w:p>
      <w:pPr>
        <w:pageBreakBefore w:val="false"/>
        <w:numPr>
          <w:ilvl w:val="0"/>
          <w:numId w:val="1"/>
        </w:numPr>
        <w:tabs>
          <w:tab w:val="clear" w:pos="720"/>
          <w:tab w:val="left" w:pos="1440"/>
        </w:tabs>
        <w:spacing w:before="324" w:after="0" w:line="319"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unlawfully.</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3628"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3" w:after="3628" w:line="326" w:lineRule="exact"/>
        <w:sectPr>
          <w:type w:val="nextPage"/>
          <w:pgSz w:w="12240" w:h="15840" w:orient="portrait"/>
          <w:pgMar w:bottom="1024" w:top="1220" w:right="2145" w:left="2155" w:header="720" w:footer="720"/>
          <w:titlePg w:val="false"/>
          <w:textDirection w:val="lrTb"/>
        </w:sectPr>
      </w:pPr>
    </w:p>
    <w:p>
      <w:pPr>
        <w:pageBreakBefore w:val="false"/>
        <w:spacing w:before="256" w:after="0" w:line="280"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7.5pt,627.35pt" to="252.05pt,627.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An expanded definition of “knowingly” is available in the General Charges section under Culpable Mental States.</w:t>
      </w:r>
    </w:p>
    <w:p>
      <w:pPr>
        <w:pageBreakBefore w:val="false"/>
        <w:spacing w:before="242" w:after="0" w:line="274"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220.00(2) and Public Health Law § 3396(1).</w:t>
      </w:r>
    </w:p>
    <w:p>
      <w:pPr>
        <w:pageBreakBefore w:val="false"/>
        <w:spacing w:before="248"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22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