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B499" w14:textId="476B0321" w:rsidR="008B1A11" w:rsidRPr="00CD7484" w:rsidRDefault="008B1A11">
      <w:pPr>
        <w:widowControl/>
        <w:jc w:val="center"/>
        <w:rPr>
          <w:rFonts w:ascii="Arial" w:eastAsia="Yu Gothic UI" w:hAnsi="Arial" w:cs="Arial"/>
          <w:b/>
          <w:bCs/>
          <w:sz w:val="28"/>
          <w:szCs w:val="28"/>
        </w:rPr>
      </w:pPr>
      <w:r w:rsidRPr="00CD7484">
        <w:rPr>
          <w:rFonts w:ascii="Arial" w:eastAsia="Yu Gothic UI" w:hAnsi="Arial" w:cs="Arial"/>
          <w:b/>
          <w:bCs/>
          <w:sz w:val="28"/>
          <w:szCs w:val="28"/>
        </w:rPr>
        <w:t>CRIMINAL CONTEMPT IN THE FIRST DEGREE</w:t>
      </w:r>
    </w:p>
    <w:p w14:paraId="0FD13850" w14:textId="77777777" w:rsidR="008B1A11" w:rsidRPr="00CD7484" w:rsidRDefault="008B1A11">
      <w:pPr>
        <w:widowControl/>
        <w:jc w:val="center"/>
        <w:rPr>
          <w:rFonts w:ascii="Arial" w:eastAsia="Yu Gothic UI" w:hAnsi="Arial" w:cs="Arial"/>
          <w:b/>
          <w:bCs/>
          <w:sz w:val="28"/>
          <w:szCs w:val="28"/>
        </w:rPr>
      </w:pPr>
      <w:r w:rsidRPr="00CD7484">
        <w:rPr>
          <w:rFonts w:ascii="Arial" w:eastAsia="Yu Gothic UI" w:hAnsi="Arial" w:cs="Arial"/>
          <w:b/>
          <w:bCs/>
          <w:sz w:val="28"/>
          <w:szCs w:val="28"/>
        </w:rPr>
        <w:t>(Violation of Order of Protection</w:t>
      </w:r>
    </w:p>
    <w:p w14:paraId="686A09A9" w14:textId="77777777" w:rsidR="008B1A11" w:rsidRPr="00CD7484" w:rsidRDefault="008B1A11">
      <w:pPr>
        <w:widowControl/>
        <w:jc w:val="center"/>
        <w:rPr>
          <w:rFonts w:ascii="Arial" w:eastAsia="Yu Gothic UI" w:hAnsi="Arial" w:cs="Arial"/>
          <w:b/>
          <w:bCs/>
          <w:sz w:val="28"/>
          <w:szCs w:val="28"/>
        </w:rPr>
      </w:pPr>
      <w:r w:rsidRPr="00CD7484">
        <w:rPr>
          <w:rFonts w:ascii="Arial" w:eastAsia="Yu Gothic UI" w:hAnsi="Arial" w:cs="Arial"/>
          <w:b/>
          <w:bCs/>
          <w:sz w:val="28"/>
          <w:szCs w:val="28"/>
        </w:rPr>
        <w:t>with a Previous Conviction)</w:t>
      </w:r>
    </w:p>
    <w:p w14:paraId="470185DD" w14:textId="77777777" w:rsidR="008B1A11" w:rsidRPr="00CD7484" w:rsidRDefault="008B1A11">
      <w:pPr>
        <w:widowControl/>
        <w:jc w:val="center"/>
        <w:rPr>
          <w:rFonts w:ascii="Arial" w:eastAsia="Yu Gothic UI" w:hAnsi="Arial" w:cs="Arial"/>
          <w:b/>
          <w:bCs/>
          <w:sz w:val="28"/>
          <w:szCs w:val="28"/>
        </w:rPr>
      </w:pPr>
      <w:r w:rsidRPr="00CD7484">
        <w:rPr>
          <w:rFonts w:ascii="Arial" w:eastAsia="Yu Gothic UI" w:hAnsi="Arial" w:cs="Arial"/>
          <w:b/>
          <w:bCs/>
          <w:sz w:val="28"/>
          <w:szCs w:val="28"/>
        </w:rPr>
        <w:t xml:space="preserve">Penal Law </w:t>
      </w:r>
      <w:r w:rsidRPr="00CD7484">
        <w:rPr>
          <w:rFonts w:ascii="Arial" w:eastAsia="Yu Gothic UI" w:hAnsi="Arial" w:cs="Arial"/>
          <w:b/>
          <w:bCs/>
          <w:sz w:val="28"/>
          <w:szCs w:val="28"/>
        </w:rPr>
        <w:sym w:font="WP TypographicSymbols" w:char="0027"/>
      </w:r>
      <w:r w:rsidRPr="00CD7484">
        <w:rPr>
          <w:rFonts w:ascii="Arial" w:eastAsia="Yu Gothic UI" w:hAnsi="Arial" w:cs="Arial"/>
          <w:b/>
          <w:bCs/>
          <w:sz w:val="28"/>
          <w:szCs w:val="28"/>
        </w:rPr>
        <w:t xml:space="preserve">  215.51 (c)</w:t>
      </w:r>
    </w:p>
    <w:p w14:paraId="20795796" w14:textId="77777777" w:rsidR="008B1A11" w:rsidRPr="00CD7484" w:rsidRDefault="008B1A11">
      <w:pPr>
        <w:widowControl/>
        <w:jc w:val="center"/>
        <w:rPr>
          <w:rFonts w:ascii="Arial" w:eastAsia="Yu Gothic UI" w:hAnsi="Arial" w:cs="Arial"/>
          <w:sz w:val="28"/>
          <w:szCs w:val="28"/>
        </w:rPr>
      </w:pPr>
      <w:r w:rsidRPr="00CD7484">
        <w:rPr>
          <w:rFonts w:ascii="Arial" w:eastAsia="Yu Gothic UI" w:hAnsi="Arial" w:cs="Arial"/>
          <w:b/>
          <w:bCs/>
          <w:sz w:val="28"/>
          <w:szCs w:val="28"/>
        </w:rPr>
        <w:t>(Committed on or after Nov. 1, 2006)</w:t>
      </w:r>
      <w:r w:rsidRPr="00CD7484">
        <w:rPr>
          <w:rStyle w:val="FootnoteReference"/>
          <w:rFonts w:ascii="Arial" w:eastAsia="Yu Gothic UI" w:hAnsi="Arial" w:cs="Arial"/>
          <w:b/>
          <w:bCs/>
          <w:sz w:val="28"/>
          <w:szCs w:val="28"/>
          <w:vertAlign w:val="superscript"/>
        </w:rPr>
        <w:footnoteReference w:id="1"/>
      </w:r>
    </w:p>
    <w:p w14:paraId="6A21E956" w14:textId="77777777" w:rsidR="008B1A11" w:rsidRPr="00CD7484" w:rsidRDefault="008B1A11">
      <w:pPr>
        <w:widowControl/>
        <w:jc w:val="center"/>
        <w:rPr>
          <w:rFonts w:ascii="Arial" w:eastAsia="Yu Gothic UI" w:hAnsi="Arial" w:cs="Arial"/>
          <w:sz w:val="28"/>
          <w:szCs w:val="28"/>
        </w:rPr>
      </w:pPr>
      <w:r w:rsidRPr="00CD7484">
        <w:rPr>
          <w:rFonts w:ascii="Arial" w:eastAsia="Yu Gothic UI" w:hAnsi="Arial" w:cs="Arial"/>
          <w:b/>
          <w:bCs/>
          <w:sz w:val="28"/>
          <w:szCs w:val="28"/>
        </w:rPr>
        <w:t>(Revised July 2016)</w:t>
      </w:r>
      <w:r w:rsidRPr="00CD7484">
        <w:rPr>
          <w:rStyle w:val="FootnoteReference"/>
          <w:rFonts w:ascii="Arial" w:eastAsia="Yu Gothic UI" w:hAnsi="Arial" w:cs="Arial"/>
          <w:b/>
          <w:bCs/>
          <w:sz w:val="28"/>
          <w:szCs w:val="28"/>
          <w:vertAlign w:val="superscript"/>
        </w:rPr>
        <w:footnoteReference w:id="2"/>
      </w:r>
    </w:p>
    <w:p w14:paraId="7B95205B" w14:textId="77777777" w:rsidR="008B1A11" w:rsidRPr="00CD7484" w:rsidRDefault="008B1A11">
      <w:pPr>
        <w:widowControl/>
        <w:rPr>
          <w:rFonts w:ascii="Arial" w:eastAsia="Yu Gothic UI" w:hAnsi="Arial" w:cs="Arial"/>
          <w:sz w:val="28"/>
          <w:szCs w:val="28"/>
        </w:rPr>
      </w:pPr>
    </w:p>
    <w:p w14:paraId="2307400B" w14:textId="77777777" w:rsidR="008B1A11" w:rsidRPr="00CD7484" w:rsidRDefault="008B1A11">
      <w:pPr>
        <w:widowControl/>
        <w:ind w:firstLine="720"/>
        <w:jc w:val="both"/>
        <w:rPr>
          <w:rFonts w:ascii="Arial" w:eastAsia="Yu Gothic UI" w:hAnsi="Arial" w:cs="Arial"/>
          <w:sz w:val="28"/>
          <w:szCs w:val="28"/>
        </w:rPr>
      </w:pPr>
      <w:r w:rsidRPr="00CD7484">
        <w:rPr>
          <w:rFonts w:ascii="Arial" w:eastAsia="Yu Gothic UI" w:hAnsi="Arial" w:cs="Arial"/>
          <w:sz w:val="28"/>
          <w:szCs w:val="28"/>
        </w:rPr>
        <w:t>The (</w:t>
      </w:r>
      <w:r w:rsidRPr="00CD7484">
        <w:rPr>
          <w:rFonts w:ascii="Arial" w:eastAsia="Yu Gothic UI" w:hAnsi="Arial" w:cs="Arial"/>
          <w:i/>
          <w:iCs/>
          <w:sz w:val="28"/>
          <w:szCs w:val="28"/>
          <w:u w:val="single"/>
        </w:rPr>
        <w:t>specify</w:t>
      </w:r>
      <w:r w:rsidRPr="00CD7484">
        <w:rPr>
          <w:rFonts w:ascii="Arial" w:eastAsia="Yu Gothic UI" w:hAnsi="Arial" w:cs="Arial"/>
          <w:sz w:val="28"/>
          <w:szCs w:val="28"/>
        </w:rPr>
        <w:t>) count is Criminal Contempt in the First Degree.</w:t>
      </w:r>
    </w:p>
    <w:p w14:paraId="68309892" w14:textId="77777777" w:rsidR="008B1A11" w:rsidRPr="00CD7484" w:rsidRDefault="008B1A11">
      <w:pPr>
        <w:widowControl/>
        <w:jc w:val="both"/>
        <w:rPr>
          <w:rFonts w:ascii="Arial" w:eastAsia="Yu Gothic UI" w:hAnsi="Arial" w:cs="Arial"/>
          <w:sz w:val="28"/>
          <w:szCs w:val="28"/>
        </w:rPr>
      </w:pPr>
    </w:p>
    <w:p w14:paraId="38456B31" w14:textId="774C7589" w:rsidR="008B1A11" w:rsidRDefault="008B1A11">
      <w:pPr>
        <w:widowControl/>
        <w:ind w:firstLine="720"/>
        <w:jc w:val="both"/>
        <w:rPr>
          <w:rFonts w:ascii="Arial" w:eastAsia="Yu Gothic UI" w:hAnsi="Arial" w:cs="Arial"/>
          <w:sz w:val="28"/>
          <w:szCs w:val="28"/>
        </w:rPr>
      </w:pPr>
      <w:r w:rsidRPr="00CD7484">
        <w:rPr>
          <w:rFonts w:ascii="Arial" w:eastAsia="Yu Gothic UI" w:hAnsi="Arial" w:cs="Arial"/>
          <w:sz w:val="28"/>
          <w:szCs w:val="28"/>
        </w:rPr>
        <w:t>Under our law, a person is guilty of Criminal Contempt in the First Degree when</w:t>
      </w:r>
      <w:r w:rsidRPr="00CD7484">
        <w:rPr>
          <w:rStyle w:val="FootnoteReference"/>
          <w:rFonts w:ascii="Arial" w:eastAsia="Yu Gothic UI" w:hAnsi="Arial" w:cs="Arial"/>
          <w:sz w:val="28"/>
          <w:szCs w:val="28"/>
          <w:vertAlign w:val="superscript"/>
        </w:rPr>
        <w:footnoteReference w:id="3"/>
      </w:r>
      <w:r w:rsidRPr="00CD7484">
        <w:rPr>
          <w:rFonts w:ascii="Arial" w:eastAsia="Yu Gothic UI" w:hAnsi="Arial" w:cs="Arial"/>
          <w:sz w:val="28"/>
          <w:szCs w:val="28"/>
        </w:rPr>
        <w:t>, in violation of a duly served order of protection, or such order of which the defendant has actual knowledge because he or she was present in court when such order was issued under our law,</w:t>
      </w:r>
      <w:r w:rsidRPr="00CD7484">
        <w:rPr>
          <w:rStyle w:val="FootnoteReference"/>
          <w:rFonts w:ascii="Arial" w:eastAsia="Yu Gothic UI" w:hAnsi="Arial" w:cs="Arial"/>
          <w:sz w:val="28"/>
          <w:szCs w:val="28"/>
          <w:vertAlign w:val="superscript"/>
        </w:rPr>
        <w:footnoteReference w:id="4"/>
      </w:r>
      <w:r w:rsidRPr="00CD7484">
        <w:rPr>
          <w:rFonts w:ascii="Arial" w:eastAsia="Yu Gothic UI" w:hAnsi="Arial" w:cs="Arial"/>
          <w:sz w:val="28"/>
          <w:szCs w:val="28"/>
        </w:rPr>
        <w:t xml:space="preserve"> [(or) by a court of competent </w:t>
      </w:r>
      <w:r w:rsidRPr="00CD7484">
        <w:rPr>
          <w:rFonts w:ascii="Arial" w:eastAsia="Yu Gothic UI" w:hAnsi="Arial" w:cs="Arial"/>
          <w:sz w:val="28"/>
          <w:szCs w:val="28"/>
        </w:rPr>
        <w:lastRenderedPageBreak/>
        <w:t>jurisdiction in another state (territorial or tribal jurisdiction)],  he or she intentionally disobeys or resists such order</w:t>
      </w:r>
      <w:r w:rsidRPr="00CD7484">
        <w:rPr>
          <w:rStyle w:val="FootnoteReference"/>
          <w:rFonts w:ascii="Arial" w:eastAsia="Yu Gothic UI" w:hAnsi="Arial" w:cs="Arial"/>
          <w:sz w:val="28"/>
          <w:szCs w:val="28"/>
          <w:vertAlign w:val="superscript"/>
        </w:rPr>
        <w:footnoteReference w:id="5"/>
      </w:r>
      <w:r w:rsidRPr="00CD7484">
        <w:rPr>
          <w:rFonts w:ascii="Arial" w:eastAsia="Yu Gothic UI" w:hAnsi="Arial" w:cs="Arial"/>
          <w:sz w:val="28"/>
          <w:szCs w:val="28"/>
        </w:rPr>
        <w:t xml:space="preserve"> by violating that part of the order which requires the respondent or defendant to stay away from the person or persons on whose behalf the order was issued, [and where the defendant has been previously convicted of the crime of (aggravated criminal contempt </w:t>
      </w:r>
      <w:r w:rsidRPr="00CD7484">
        <w:rPr>
          <w:rFonts w:ascii="Arial" w:eastAsia="Yu Gothic UI" w:hAnsi="Arial" w:cs="Arial"/>
          <w:i/>
          <w:iCs/>
          <w:sz w:val="28"/>
          <w:szCs w:val="28"/>
        </w:rPr>
        <w:t>or</w:t>
      </w:r>
      <w:r w:rsidRPr="00CD7484">
        <w:rPr>
          <w:rFonts w:ascii="Arial" w:eastAsia="Yu Gothic UI" w:hAnsi="Arial" w:cs="Arial"/>
          <w:sz w:val="28"/>
          <w:szCs w:val="28"/>
        </w:rPr>
        <w:t xml:space="preserve"> criminal contempt in the first degree </w:t>
      </w:r>
      <w:r w:rsidRPr="00CD7484">
        <w:rPr>
          <w:rFonts w:ascii="Arial" w:eastAsia="Yu Gothic UI" w:hAnsi="Arial" w:cs="Arial"/>
          <w:i/>
          <w:iCs/>
          <w:sz w:val="28"/>
          <w:szCs w:val="28"/>
        </w:rPr>
        <w:t>or</w:t>
      </w:r>
      <w:r w:rsidRPr="00CD7484">
        <w:rPr>
          <w:rFonts w:ascii="Arial" w:eastAsia="Yu Gothic UI" w:hAnsi="Arial" w:cs="Arial"/>
          <w:sz w:val="28"/>
          <w:szCs w:val="28"/>
        </w:rPr>
        <w:t xml:space="preserve"> criminal contempt in the second degree) for violating an order of protection as described herein</w:t>
      </w:r>
      <w:r w:rsidR="004A639A" w:rsidRPr="001B380C">
        <w:rPr>
          <w:rStyle w:val="FootnoteReference"/>
          <w:rFonts w:ascii="Arial" w:eastAsia="Yu Gothic UI" w:hAnsi="Arial" w:cs="Arial"/>
          <w:sz w:val="28"/>
          <w:szCs w:val="28"/>
          <w:vertAlign w:val="superscript"/>
        </w:rPr>
        <w:footnoteReference w:id="6"/>
      </w:r>
      <w:r w:rsidRPr="00CD7484">
        <w:rPr>
          <w:rFonts w:ascii="Arial" w:eastAsia="Yu Gothic UI" w:hAnsi="Arial" w:cs="Arial"/>
          <w:sz w:val="28"/>
          <w:szCs w:val="28"/>
        </w:rPr>
        <w:t xml:space="preserve"> within the preceding five years].</w:t>
      </w:r>
      <w:r w:rsidRPr="00CD7484">
        <w:rPr>
          <w:rStyle w:val="FootnoteReference"/>
          <w:rFonts w:ascii="Arial" w:eastAsia="Yu Gothic UI" w:hAnsi="Arial" w:cs="Arial"/>
          <w:sz w:val="28"/>
          <w:szCs w:val="28"/>
          <w:vertAlign w:val="superscript"/>
        </w:rPr>
        <w:footnoteReference w:id="7"/>
      </w:r>
    </w:p>
    <w:p w14:paraId="5A2E0087" w14:textId="77777777" w:rsidR="008B1A11" w:rsidRPr="00CD7484" w:rsidRDefault="008B1A11">
      <w:pPr>
        <w:widowControl/>
        <w:jc w:val="both"/>
        <w:rPr>
          <w:rFonts w:ascii="Arial" w:eastAsia="Yu Gothic UI" w:hAnsi="Arial" w:cs="Arial"/>
          <w:sz w:val="28"/>
          <w:szCs w:val="28"/>
        </w:rPr>
      </w:pPr>
    </w:p>
    <w:p w14:paraId="31D7310E" w14:textId="77777777" w:rsidR="008B1A11" w:rsidRDefault="008B1A11">
      <w:pPr>
        <w:widowControl/>
        <w:ind w:firstLine="720"/>
        <w:jc w:val="both"/>
        <w:rPr>
          <w:rFonts w:ascii="Arial" w:eastAsia="Yu Gothic UI" w:hAnsi="Arial" w:cs="Arial"/>
          <w:sz w:val="28"/>
          <w:szCs w:val="28"/>
        </w:rPr>
      </w:pPr>
      <w:r w:rsidRPr="00CD7484">
        <w:rPr>
          <w:rFonts w:ascii="Arial" w:eastAsia="Yu Gothic UI" w:hAnsi="Arial" w:cs="Arial"/>
          <w:sz w:val="28"/>
          <w:szCs w:val="28"/>
        </w:rPr>
        <w:t>The following term used in that definition has a special meaning:</w:t>
      </w:r>
    </w:p>
    <w:p w14:paraId="2781C326" w14:textId="77777777" w:rsidR="008B1A11" w:rsidRPr="00CD7484" w:rsidRDefault="008B1A11">
      <w:pPr>
        <w:widowControl/>
        <w:jc w:val="both"/>
        <w:rPr>
          <w:rFonts w:ascii="Arial" w:eastAsia="Yu Gothic UI" w:hAnsi="Arial" w:cs="Arial"/>
          <w:sz w:val="28"/>
          <w:szCs w:val="28"/>
        </w:rPr>
      </w:pPr>
    </w:p>
    <w:p w14:paraId="7E0D0040" w14:textId="77777777" w:rsidR="008B1A11" w:rsidRPr="00CD7484" w:rsidRDefault="008B1A11">
      <w:pPr>
        <w:widowControl/>
        <w:ind w:firstLine="720"/>
        <w:jc w:val="both"/>
        <w:rPr>
          <w:rFonts w:ascii="Arial" w:eastAsia="Yu Gothic UI" w:hAnsi="Arial" w:cs="Arial"/>
          <w:sz w:val="28"/>
          <w:szCs w:val="28"/>
        </w:rPr>
      </w:pPr>
      <w:r w:rsidRPr="00CD7484">
        <w:rPr>
          <w:rFonts w:ascii="Arial" w:eastAsia="Yu Gothic UI" w:hAnsi="Arial" w:cs="Arial"/>
          <w:sz w:val="28"/>
          <w:szCs w:val="28"/>
        </w:rPr>
        <w:t>A person INTENTIONALLY disobeys or resists an order of protection which requires the respondent or defendant to stay away from the person or persons on whose behalf the order was issued when that person</w:t>
      </w:r>
      <w:r w:rsidRPr="00CD7484">
        <w:rPr>
          <w:rFonts w:ascii="Arial" w:eastAsia="Yu Gothic UI" w:hAnsi="Arial" w:cs="Arial"/>
          <w:sz w:val="28"/>
          <w:szCs w:val="28"/>
        </w:rPr>
        <w:sym w:font="WP TypographicSymbols" w:char="003D"/>
      </w:r>
      <w:r w:rsidRPr="00CD7484">
        <w:rPr>
          <w:rFonts w:ascii="Arial" w:eastAsia="Yu Gothic UI" w:hAnsi="Arial" w:cs="Arial"/>
          <w:sz w:val="28"/>
          <w:szCs w:val="28"/>
        </w:rPr>
        <w:t>s conscious objective or purpose is to do so.</w:t>
      </w:r>
      <w:r w:rsidRPr="00CD7484">
        <w:rPr>
          <w:rStyle w:val="FootnoteReference"/>
          <w:rFonts w:ascii="Arial" w:eastAsia="Yu Gothic UI" w:hAnsi="Arial" w:cs="Arial"/>
          <w:sz w:val="28"/>
          <w:szCs w:val="28"/>
          <w:vertAlign w:val="superscript"/>
        </w:rPr>
        <w:footnoteReference w:id="8"/>
      </w:r>
    </w:p>
    <w:p w14:paraId="53CF9BF2" w14:textId="77777777" w:rsidR="008B1A11" w:rsidRPr="00CD7484" w:rsidRDefault="008B1A11">
      <w:pPr>
        <w:widowControl/>
        <w:jc w:val="both"/>
        <w:rPr>
          <w:rFonts w:ascii="Arial" w:eastAsia="Yu Gothic UI" w:hAnsi="Arial" w:cs="Arial"/>
          <w:sz w:val="28"/>
          <w:szCs w:val="28"/>
        </w:rPr>
      </w:pPr>
    </w:p>
    <w:p w14:paraId="5E9E8720" w14:textId="77777777" w:rsidR="008B1A11" w:rsidRPr="00CD7484" w:rsidRDefault="008B1A11">
      <w:pPr>
        <w:widowControl/>
        <w:ind w:firstLine="720"/>
        <w:jc w:val="both"/>
        <w:rPr>
          <w:rFonts w:ascii="Arial" w:eastAsia="Yu Gothic UI" w:hAnsi="Arial" w:cs="Arial"/>
          <w:sz w:val="28"/>
          <w:szCs w:val="28"/>
        </w:rPr>
      </w:pPr>
      <w:r w:rsidRPr="00CD7484">
        <w:rPr>
          <w:rFonts w:ascii="Arial" w:eastAsia="Yu Gothic UI" w:hAnsi="Arial" w:cs="Arial"/>
          <w:sz w:val="28"/>
          <w:szCs w:val="28"/>
        </w:rPr>
        <w:t xml:space="preserve">In order for you to find the defendant guilty of this crime, the People are required to prove, from all of the evidence in the </w:t>
      </w:r>
      <w:r w:rsidRPr="00CD7484">
        <w:rPr>
          <w:rFonts w:ascii="Arial" w:eastAsia="Yu Gothic UI" w:hAnsi="Arial" w:cs="Arial"/>
          <w:sz w:val="28"/>
          <w:szCs w:val="28"/>
        </w:rPr>
        <w:lastRenderedPageBreak/>
        <w:t>case, beyond a reasonable doubt, each of the following four elements:</w:t>
      </w:r>
    </w:p>
    <w:p w14:paraId="02B2CC44" w14:textId="77777777" w:rsidR="008B1A11" w:rsidRPr="00CD7484" w:rsidRDefault="008B1A11">
      <w:pPr>
        <w:widowControl/>
        <w:jc w:val="both"/>
        <w:rPr>
          <w:rFonts w:ascii="Arial" w:eastAsia="Yu Gothic UI" w:hAnsi="Arial" w:cs="Arial"/>
          <w:sz w:val="28"/>
          <w:szCs w:val="28"/>
        </w:rPr>
      </w:pPr>
    </w:p>
    <w:p w14:paraId="205306ED" w14:textId="064F5E8D" w:rsidR="008B1A11" w:rsidRPr="00CD7484" w:rsidRDefault="008B1A11">
      <w:pPr>
        <w:widowControl/>
        <w:tabs>
          <w:tab w:val="left" w:pos="-1440"/>
        </w:tabs>
        <w:ind w:left="1440" w:hanging="720"/>
        <w:jc w:val="both"/>
        <w:rPr>
          <w:rFonts w:ascii="Arial" w:eastAsia="Yu Gothic UI" w:hAnsi="Arial" w:cs="Arial"/>
          <w:sz w:val="28"/>
          <w:szCs w:val="28"/>
        </w:rPr>
      </w:pPr>
      <w:r w:rsidRPr="00CD7484">
        <w:rPr>
          <w:rFonts w:ascii="Arial" w:eastAsia="Yu Gothic UI" w:hAnsi="Arial" w:cs="Arial"/>
          <w:sz w:val="28"/>
          <w:szCs w:val="28"/>
        </w:rPr>
        <w:t>1.</w:t>
      </w:r>
      <w:r w:rsidRPr="00CD7484">
        <w:rPr>
          <w:rFonts w:ascii="Arial" w:eastAsia="Yu Gothic UI" w:hAnsi="Arial" w:cs="Arial"/>
          <w:sz w:val="28"/>
          <w:szCs w:val="28"/>
        </w:rPr>
        <w:tab/>
        <w:t xml:space="preserve">That on or about </w:t>
      </w:r>
      <w:r w:rsidRPr="00CD7484">
        <w:rPr>
          <w:rFonts w:ascii="Arial" w:eastAsia="Yu Gothic UI" w:hAnsi="Arial" w:cs="Arial"/>
          <w:i/>
          <w:iCs/>
          <w:sz w:val="28"/>
          <w:szCs w:val="28"/>
          <w:u w:val="single"/>
        </w:rPr>
        <w:t>(date)</w:t>
      </w:r>
      <w:r w:rsidRPr="00CD7484">
        <w:rPr>
          <w:rFonts w:ascii="Arial" w:eastAsia="Yu Gothic UI" w:hAnsi="Arial" w:cs="Arial"/>
          <w:sz w:val="28"/>
          <w:szCs w:val="28"/>
        </w:rPr>
        <w:t xml:space="preserve">, the </w:t>
      </w:r>
      <w:r w:rsidRPr="00CD7484">
        <w:rPr>
          <w:rFonts w:ascii="Arial" w:eastAsia="Yu Gothic UI" w:hAnsi="Arial" w:cs="Arial"/>
          <w:sz w:val="28"/>
          <w:szCs w:val="28"/>
          <w:u w:val="single"/>
        </w:rPr>
        <w:t>(</w:t>
      </w:r>
      <w:r w:rsidRPr="00CD7484">
        <w:rPr>
          <w:rFonts w:ascii="Arial" w:eastAsia="Yu Gothic UI" w:hAnsi="Arial" w:cs="Arial"/>
          <w:i/>
          <w:iCs/>
          <w:sz w:val="28"/>
          <w:szCs w:val="28"/>
          <w:u w:val="single"/>
        </w:rPr>
        <w:t>specify)</w:t>
      </w:r>
      <w:r w:rsidRPr="00CD7484">
        <w:rPr>
          <w:rFonts w:ascii="Arial" w:eastAsia="Yu Gothic UI" w:hAnsi="Arial" w:cs="Arial"/>
          <w:sz w:val="28"/>
          <w:szCs w:val="28"/>
        </w:rPr>
        <w:t xml:space="preserve"> Court of New York [(or) a Court of competent jurisdiction in another state (territorial or tribal jurisdiction] issued an order of protection that was duly served, or such order of which the defendant had actual knowledge because he/she was present in court when such order was issued;</w:t>
      </w:r>
    </w:p>
    <w:p w14:paraId="2C3D6ABF" w14:textId="77777777" w:rsidR="008B1A11" w:rsidRPr="00CD7484" w:rsidRDefault="008B1A11">
      <w:pPr>
        <w:widowControl/>
        <w:jc w:val="both"/>
        <w:rPr>
          <w:rFonts w:ascii="Arial" w:eastAsia="Yu Gothic UI" w:hAnsi="Arial" w:cs="Arial"/>
          <w:sz w:val="28"/>
          <w:szCs w:val="28"/>
        </w:rPr>
      </w:pPr>
    </w:p>
    <w:p w14:paraId="4B34F827" w14:textId="77777777" w:rsidR="008B1A11" w:rsidRPr="00CD7484" w:rsidRDefault="008B1A11">
      <w:pPr>
        <w:widowControl/>
        <w:tabs>
          <w:tab w:val="left" w:pos="-1440"/>
        </w:tabs>
        <w:ind w:left="1440" w:hanging="720"/>
        <w:jc w:val="both"/>
        <w:rPr>
          <w:rFonts w:ascii="Arial" w:eastAsia="Yu Gothic UI" w:hAnsi="Arial" w:cs="Arial"/>
          <w:sz w:val="28"/>
          <w:szCs w:val="28"/>
        </w:rPr>
      </w:pPr>
      <w:r w:rsidRPr="00CD7484">
        <w:rPr>
          <w:rFonts w:ascii="Arial" w:eastAsia="Yu Gothic UI" w:hAnsi="Arial" w:cs="Arial"/>
          <w:sz w:val="28"/>
          <w:szCs w:val="28"/>
        </w:rPr>
        <w:t>2.</w:t>
      </w:r>
      <w:r w:rsidRPr="00CD7484">
        <w:rPr>
          <w:rFonts w:ascii="Arial" w:eastAsia="Yu Gothic UI" w:hAnsi="Arial" w:cs="Arial"/>
          <w:sz w:val="28"/>
          <w:szCs w:val="28"/>
        </w:rPr>
        <w:tab/>
        <w:t xml:space="preserve">That the order was issued for the protection of </w:t>
      </w:r>
      <w:r w:rsidRPr="00CD7484">
        <w:rPr>
          <w:rFonts w:ascii="Arial" w:eastAsia="Yu Gothic UI" w:hAnsi="Arial" w:cs="Arial"/>
          <w:i/>
          <w:iCs/>
          <w:sz w:val="28"/>
          <w:szCs w:val="28"/>
          <w:u w:val="single"/>
        </w:rPr>
        <w:t>(specify)</w:t>
      </w:r>
      <w:r w:rsidRPr="00CD7484">
        <w:rPr>
          <w:rFonts w:ascii="Arial" w:eastAsia="Yu Gothic UI" w:hAnsi="Arial" w:cs="Arial"/>
          <w:sz w:val="28"/>
          <w:szCs w:val="28"/>
        </w:rPr>
        <w:t>;</w:t>
      </w:r>
    </w:p>
    <w:p w14:paraId="4A20D70B" w14:textId="77777777" w:rsidR="008B1A11" w:rsidRPr="00CD7484" w:rsidRDefault="008B1A11">
      <w:pPr>
        <w:widowControl/>
        <w:jc w:val="both"/>
        <w:rPr>
          <w:rFonts w:ascii="Arial" w:eastAsia="Yu Gothic UI" w:hAnsi="Arial" w:cs="Arial"/>
          <w:sz w:val="28"/>
          <w:szCs w:val="28"/>
        </w:rPr>
      </w:pPr>
    </w:p>
    <w:p w14:paraId="68E6A9E5" w14:textId="77777777" w:rsidR="008B1A11" w:rsidRPr="00CD7484" w:rsidRDefault="008B1A11">
      <w:pPr>
        <w:widowControl/>
        <w:tabs>
          <w:tab w:val="left" w:pos="-1440"/>
        </w:tabs>
        <w:ind w:left="1440" w:hanging="720"/>
        <w:jc w:val="both"/>
        <w:rPr>
          <w:rFonts w:ascii="Arial" w:eastAsia="Yu Gothic UI" w:hAnsi="Arial" w:cs="Arial"/>
          <w:sz w:val="28"/>
          <w:szCs w:val="28"/>
        </w:rPr>
      </w:pPr>
      <w:r w:rsidRPr="00CD7484">
        <w:rPr>
          <w:rFonts w:ascii="Arial" w:eastAsia="Yu Gothic UI" w:hAnsi="Arial" w:cs="Arial"/>
          <w:sz w:val="28"/>
          <w:szCs w:val="28"/>
        </w:rPr>
        <w:t>3.</w:t>
      </w:r>
      <w:r w:rsidRPr="00CD7484">
        <w:rPr>
          <w:rFonts w:ascii="Arial" w:eastAsia="Yu Gothic UI" w:hAnsi="Arial" w:cs="Arial"/>
          <w:sz w:val="28"/>
          <w:szCs w:val="28"/>
        </w:rPr>
        <w:tab/>
        <w:t xml:space="preserve">That on or about </w:t>
      </w:r>
      <w:r w:rsidRPr="00CD7484">
        <w:rPr>
          <w:rFonts w:ascii="Arial" w:eastAsia="Yu Gothic UI" w:hAnsi="Arial" w:cs="Arial"/>
          <w:sz w:val="28"/>
          <w:szCs w:val="28"/>
          <w:u w:val="single"/>
        </w:rPr>
        <w:t xml:space="preserve"> </w:t>
      </w:r>
      <w:r w:rsidRPr="00CD7484">
        <w:rPr>
          <w:rFonts w:ascii="Arial" w:eastAsia="Yu Gothic UI" w:hAnsi="Arial" w:cs="Arial"/>
          <w:i/>
          <w:iCs/>
          <w:sz w:val="28"/>
          <w:szCs w:val="28"/>
          <w:u w:val="single"/>
        </w:rPr>
        <w:t xml:space="preserve">(date) </w:t>
      </w:r>
      <w:r w:rsidRPr="00CD7484">
        <w:rPr>
          <w:rFonts w:ascii="Arial" w:eastAsia="Yu Gothic UI" w:hAnsi="Arial" w:cs="Arial"/>
          <w:sz w:val="28"/>
          <w:szCs w:val="28"/>
        </w:rPr>
        <w:t xml:space="preserve">, in the county of </w:t>
      </w:r>
      <w:r w:rsidRPr="00CD7484">
        <w:rPr>
          <w:rFonts w:ascii="Arial" w:eastAsia="Yu Gothic UI" w:hAnsi="Arial" w:cs="Arial"/>
          <w:i/>
          <w:iCs/>
          <w:sz w:val="28"/>
          <w:szCs w:val="28"/>
          <w:u w:val="single"/>
        </w:rPr>
        <w:t>(County)</w:t>
      </w:r>
      <w:r w:rsidRPr="00CD7484">
        <w:rPr>
          <w:rFonts w:ascii="Arial" w:eastAsia="Yu Gothic UI" w:hAnsi="Arial" w:cs="Arial"/>
          <w:sz w:val="28"/>
          <w:szCs w:val="28"/>
        </w:rPr>
        <w:t xml:space="preserve">, the defendant, </w:t>
      </w:r>
      <w:r w:rsidRPr="00CD7484">
        <w:rPr>
          <w:rFonts w:ascii="Arial" w:eastAsia="Yu Gothic UI" w:hAnsi="Arial" w:cs="Arial"/>
          <w:i/>
          <w:iCs/>
          <w:sz w:val="28"/>
          <w:szCs w:val="28"/>
          <w:u w:val="single"/>
        </w:rPr>
        <w:t>(defendant</w:t>
      </w:r>
      <w:r w:rsidRPr="00CD7484">
        <w:rPr>
          <w:rFonts w:ascii="Arial" w:eastAsia="Yu Gothic UI" w:hAnsi="Arial" w:cs="Arial"/>
          <w:i/>
          <w:iCs/>
          <w:sz w:val="28"/>
          <w:szCs w:val="28"/>
          <w:u w:val="single"/>
        </w:rPr>
        <w:sym w:font="WP TypographicSymbols" w:char="003D"/>
      </w:r>
      <w:r w:rsidRPr="00CD7484">
        <w:rPr>
          <w:rFonts w:ascii="Arial" w:eastAsia="Yu Gothic UI" w:hAnsi="Arial" w:cs="Arial"/>
          <w:i/>
          <w:iCs/>
          <w:sz w:val="28"/>
          <w:szCs w:val="28"/>
          <w:u w:val="single"/>
        </w:rPr>
        <w:t>s name)</w:t>
      </w:r>
      <w:r w:rsidRPr="00CD7484">
        <w:rPr>
          <w:rFonts w:ascii="Arial" w:eastAsia="Yu Gothic UI" w:hAnsi="Arial" w:cs="Arial"/>
          <w:sz w:val="28"/>
          <w:szCs w:val="28"/>
        </w:rPr>
        <w:t xml:space="preserve">, disobeyed or resisted that order by violating that part of the order which required him/her to stay away from </w:t>
      </w:r>
      <w:r w:rsidRPr="00CD7484">
        <w:rPr>
          <w:rFonts w:ascii="Arial" w:eastAsia="Yu Gothic UI" w:hAnsi="Arial" w:cs="Arial"/>
          <w:i/>
          <w:iCs/>
          <w:sz w:val="28"/>
          <w:szCs w:val="28"/>
          <w:u w:val="single"/>
        </w:rPr>
        <w:t>(specify)</w:t>
      </w:r>
      <w:r w:rsidRPr="00CD7484">
        <w:rPr>
          <w:rFonts w:ascii="Arial" w:eastAsia="Yu Gothic UI" w:hAnsi="Arial" w:cs="Arial"/>
          <w:sz w:val="28"/>
          <w:szCs w:val="28"/>
        </w:rPr>
        <w:t>; and</w:t>
      </w:r>
    </w:p>
    <w:p w14:paraId="74109B6B" w14:textId="77777777" w:rsidR="008B1A11" w:rsidRPr="00CD7484" w:rsidRDefault="008B1A11">
      <w:pPr>
        <w:widowControl/>
        <w:jc w:val="both"/>
        <w:rPr>
          <w:rFonts w:ascii="Arial" w:eastAsia="Yu Gothic UI" w:hAnsi="Arial" w:cs="Arial"/>
          <w:sz w:val="28"/>
          <w:szCs w:val="28"/>
        </w:rPr>
      </w:pPr>
    </w:p>
    <w:p w14:paraId="3C2740EC" w14:textId="77777777" w:rsidR="008B1A11" w:rsidRPr="00CD7484" w:rsidRDefault="008B1A11">
      <w:pPr>
        <w:widowControl/>
        <w:tabs>
          <w:tab w:val="left" w:pos="-1440"/>
        </w:tabs>
        <w:ind w:left="1440" w:hanging="720"/>
        <w:jc w:val="both"/>
        <w:rPr>
          <w:rFonts w:ascii="Arial" w:eastAsia="Yu Gothic UI" w:hAnsi="Arial" w:cs="Arial"/>
          <w:sz w:val="28"/>
          <w:szCs w:val="28"/>
        </w:rPr>
      </w:pPr>
      <w:r w:rsidRPr="00CD7484">
        <w:rPr>
          <w:rFonts w:ascii="Arial" w:eastAsia="Yu Gothic UI" w:hAnsi="Arial" w:cs="Arial"/>
          <w:sz w:val="28"/>
          <w:szCs w:val="28"/>
        </w:rPr>
        <w:t>4.</w:t>
      </w:r>
      <w:r w:rsidRPr="00CD7484">
        <w:rPr>
          <w:rFonts w:ascii="Arial" w:eastAsia="Yu Gothic UI" w:hAnsi="Arial" w:cs="Arial"/>
          <w:sz w:val="28"/>
          <w:szCs w:val="28"/>
        </w:rPr>
        <w:tab/>
        <w:t>That the defendant did so intentionally.</w:t>
      </w:r>
      <w:r w:rsidRPr="00CD7484">
        <w:rPr>
          <w:rStyle w:val="FootnoteReference"/>
          <w:rFonts w:ascii="Arial" w:eastAsia="Yu Gothic UI" w:hAnsi="Arial" w:cs="Arial"/>
          <w:sz w:val="28"/>
          <w:szCs w:val="28"/>
          <w:vertAlign w:val="superscript"/>
        </w:rPr>
        <w:footnoteReference w:id="9"/>
      </w:r>
    </w:p>
    <w:p w14:paraId="48F26AAF" w14:textId="77777777" w:rsidR="008B1A11" w:rsidRPr="00CD7484" w:rsidRDefault="008B1A11">
      <w:pPr>
        <w:widowControl/>
        <w:jc w:val="both"/>
        <w:rPr>
          <w:rFonts w:ascii="Arial" w:eastAsia="Yu Gothic UI" w:hAnsi="Arial" w:cs="Arial"/>
          <w:sz w:val="28"/>
          <w:szCs w:val="28"/>
        </w:rPr>
      </w:pPr>
    </w:p>
    <w:p w14:paraId="16F3AA52" w14:textId="77777777" w:rsidR="008B1A11" w:rsidRPr="00CD7484" w:rsidRDefault="008B1A11">
      <w:pPr>
        <w:widowControl/>
        <w:jc w:val="both"/>
        <w:rPr>
          <w:rFonts w:ascii="Arial" w:eastAsia="Yu Gothic UI" w:hAnsi="Arial" w:cs="Arial"/>
          <w:sz w:val="28"/>
          <w:szCs w:val="28"/>
        </w:rPr>
        <w:sectPr w:rsidR="008B1A11" w:rsidRPr="00CD7484">
          <w:footerReference w:type="default" r:id="rId7"/>
          <w:type w:val="continuous"/>
          <w:pgSz w:w="12240" w:h="15840"/>
          <w:pgMar w:top="1440" w:right="2160" w:bottom="1440" w:left="2160" w:header="1440" w:footer="1440" w:gutter="0"/>
          <w:cols w:space="720"/>
          <w:noEndnote/>
        </w:sectPr>
      </w:pPr>
    </w:p>
    <w:p w14:paraId="1CD9D11A" w14:textId="77777777" w:rsidR="008B1A11" w:rsidRPr="00CD7484" w:rsidRDefault="008B1A11">
      <w:pPr>
        <w:widowControl/>
        <w:ind w:firstLine="720"/>
        <w:jc w:val="both"/>
        <w:rPr>
          <w:rFonts w:ascii="Arial" w:hAnsi="Arial" w:cs="Arial"/>
          <w:sz w:val="28"/>
          <w:szCs w:val="28"/>
        </w:rPr>
      </w:pPr>
      <w:r w:rsidRPr="00CD7484">
        <w:rPr>
          <w:rFonts w:ascii="Arial" w:hAnsi="Arial" w:cs="Arial"/>
          <w:sz w:val="28"/>
          <w:szCs w:val="28"/>
        </w:rPr>
        <w:t>If you find the People have proven beyond a reasonable doubt each of those elements, you must find the defendant guilty of this crime.</w:t>
      </w:r>
    </w:p>
    <w:p w14:paraId="6B378698" w14:textId="77777777" w:rsidR="008B1A11" w:rsidRPr="00CD7484" w:rsidRDefault="008B1A11">
      <w:pPr>
        <w:widowControl/>
        <w:jc w:val="both"/>
        <w:rPr>
          <w:rFonts w:ascii="Arial" w:hAnsi="Arial" w:cs="Arial"/>
          <w:sz w:val="28"/>
          <w:szCs w:val="28"/>
        </w:rPr>
      </w:pPr>
    </w:p>
    <w:p w14:paraId="4C335F3E" w14:textId="77777777" w:rsidR="008B1A11" w:rsidRPr="00CD7484" w:rsidRDefault="008B1A11">
      <w:pPr>
        <w:widowControl/>
        <w:ind w:firstLine="720"/>
        <w:jc w:val="both"/>
        <w:rPr>
          <w:rFonts w:ascii="Arial" w:hAnsi="Arial" w:cs="Arial"/>
          <w:sz w:val="28"/>
          <w:szCs w:val="28"/>
        </w:rPr>
      </w:pPr>
      <w:r w:rsidRPr="00CD7484">
        <w:rPr>
          <w:rFonts w:ascii="Arial" w:hAnsi="Arial" w:cs="Arial"/>
          <w:sz w:val="28"/>
          <w:szCs w:val="28"/>
        </w:rPr>
        <w:t>If you find the People have not proven beyond a reasonable doubt any one or more of those elements, you must find the defendant not guilty of this crime.</w:t>
      </w:r>
    </w:p>
    <w:p w14:paraId="69D9A842" w14:textId="77777777" w:rsidR="008B1A11" w:rsidRPr="00CD7484" w:rsidRDefault="008B1A11">
      <w:pPr>
        <w:widowControl/>
        <w:jc w:val="both"/>
        <w:rPr>
          <w:rFonts w:ascii="Arial" w:eastAsia="Yu Gothic UI" w:hAnsi="Arial" w:cs="Arial"/>
          <w:sz w:val="28"/>
          <w:szCs w:val="28"/>
        </w:rPr>
      </w:pPr>
    </w:p>
    <w:sectPr w:rsidR="008B1A11" w:rsidRPr="00CD7484" w:rsidSect="008B1A11">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F22F" w14:textId="77777777" w:rsidR="008B1A11" w:rsidRDefault="008B1A11" w:rsidP="008B1A11">
      <w:r>
        <w:separator/>
      </w:r>
    </w:p>
  </w:endnote>
  <w:endnote w:type="continuationSeparator" w:id="0">
    <w:p w14:paraId="3BD6235C" w14:textId="77777777" w:rsidR="008B1A11" w:rsidRDefault="008B1A11" w:rsidP="008B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343" w14:textId="77777777" w:rsidR="008B1A11" w:rsidRDefault="008B1A11">
    <w:pPr>
      <w:spacing w:line="240" w:lineRule="exact"/>
    </w:pPr>
  </w:p>
  <w:p w14:paraId="2693C1F8" w14:textId="47838A35" w:rsidR="008B1A11" w:rsidRDefault="008B1A11">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CD7484">
      <w:rPr>
        <w:rFonts w:ascii="Arial" w:hAnsi="Arial" w:cs="Arial"/>
        <w:noProof/>
        <w:sz w:val="20"/>
        <w:szCs w:val="20"/>
      </w:rPr>
      <w:t>2</w:t>
    </w:r>
    <w:r>
      <w:rPr>
        <w:rFonts w:ascii="Arial" w:hAnsi="Arial" w:cs="Arial"/>
        <w:sz w:val="20"/>
        <w:szCs w:val="20"/>
      </w:rPr>
      <w:fldChar w:fldCharType="end"/>
    </w:r>
  </w:p>
  <w:p w14:paraId="0D851C84" w14:textId="77777777" w:rsidR="008B1A11" w:rsidRDefault="008B1A11">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9494" w14:textId="77777777" w:rsidR="008B1A11" w:rsidRDefault="008B1A11" w:rsidP="008B1A11">
      <w:r>
        <w:separator/>
      </w:r>
    </w:p>
  </w:footnote>
  <w:footnote w:type="continuationSeparator" w:id="0">
    <w:p w14:paraId="3F06750D" w14:textId="77777777" w:rsidR="008B1A11" w:rsidRDefault="008B1A11" w:rsidP="008B1A11">
      <w:r>
        <w:continuationSeparator/>
      </w:r>
    </w:p>
  </w:footnote>
  <w:footnote w:id="1">
    <w:p w14:paraId="31E81C4E" w14:textId="77777777" w:rsidR="008B1A11" w:rsidRPr="00CD7484" w:rsidRDefault="008B1A11">
      <w:pPr>
        <w:ind w:firstLine="720"/>
        <w:jc w:val="both"/>
        <w:rPr>
          <w:rFonts w:ascii="Arial" w:eastAsia="Yu Gothic UI" w:hAnsi="Arial" w:cs="Arial"/>
          <w:sz w:val="22"/>
          <w:szCs w:val="22"/>
        </w:rPr>
      </w:pPr>
      <w:r w:rsidRPr="00CD7484">
        <w:rPr>
          <w:rFonts w:ascii="Arial" w:eastAsia="Yu Gothic UI" w:hAnsi="Arial" w:cs="Arial"/>
          <w:sz w:val="22"/>
          <w:szCs w:val="22"/>
          <w:vertAlign w:val="superscript"/>
        </w:rPr>
        <w:t>1</w:t>
      </w:r>
      <w:r w:rsidRPr="00CD7484">
        <w:rPr>
          <w:rFonts w:ascii="Arial" w:eastAsia="Yu Gothic UI" w:hAnsi="Arial" w:cs="Arial"/>
          <w:sz w:val="22"/>
          <w:szCs w:val="22"/>
        </w:rPr>
        <w:t xml:space="preserve"> This section took effect January 1, 1995 (</w:t>
      </w:r>
      <w:r w:rsidRPr="00CD7484">
        <w:rPr>
          <w:rFonts w:ascii="Arial" w:eastAsia="Yu Gothic UI" w:hAnsi="Arial" w:cs="Arial"/>
          <w:i/>
          <w:iCs/>
          <w:sz w:val="22"/>
          <w:szCs w:val="22"/>
        </w:rPr>
        <w:t>see</w:t>
      </w:r>
      <w:r w:rsidRPr="00CD7484">
        <w:rPr>
          <w:rFonts w:ascii="Arial" w:eastAsia="Yu Gothic UI" w:hAnsi="Arial" w:cs="Arial"/>
          <w:sz w:val="22"/>
          <w:szCs w:val="22"/>
        </w:rPr>
        <w:t xml:space="preserve"> L 1994, ch 222 and ch 224). However, the predicate crime was then limited to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criminal contempt in the second degree.</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w:t>
      </w:r>
    </w:p>
    <w:p w14:paraId="3092B80D" w14:textId="77777777" w:rsidR="008B1A11" w:rsidRPr="00CD7484" w:rsidRDefault="008B1A11">
      <w:pPr>
        <w:ind w:firstLine="720"/>
        <w:jc w:val="both"/>
        <w:rPr>
          <w:rFonts w:ascii="Arial" w:eastAsia="Yu Gothic UI" w:hAnsi="Arial" w:cs="Arial"/>
          <w:sz w:val="22"/>
          <w:szCs w:val="22"/>
        </w:rPr>
      </w:pPr>
      <w:r w:rsidRPr="00CD7484">
        <w:rPr>
          <w:rFonts w:ascii="Arial" w:eastAsia="Yu Gothic UI" w:hAnsi="Arial" w:cs="Arial"/>
          <w:sz w:val="22"/>
          <w:szCs w:val="22"/>
        </w:rPr>
        <w:t xml:space="preserve">Effective December 22, 1998, the alternative of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a court of competent jurisdiction in another state territorial or tribal jurisdiction</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was added.</w:t>
      </w:r>
    </w:p>
    <w:p w14:paraId="07AB8ACA" w14:textId="77777777" w:rsidR="008B1A11" w:rsidRPr="00CD7484" w:rsidRDefault="008B1A11">
      <w:pPr>
        <w:ind w:firstLine="720"/>
        <w:jc w:val="both"/>
        <w:rPr>
          <w:rFonts w:ascii="Arial" w:eastAsia="Yu Gothic UI" w:hAnsi="Arial" w:cs="Arial"/>
          <w:sz w:val="22"/>
          <w:szCs w:val="22"/>
        </w:rPr>
      </w:pPr>
      <w:r w:rsidRPr="00CD7484">
        <w:rPr>
          <w:rFonts w:ascii="Arial" w:eastAsia="Yu Gothic UI" w:hAnsi="Arial" w:cs="Arial"/>
          <w:sz w:val="22"/>
          <w:szCs w:val="22"/>
        </w:rPr>
        <w:t xml:space="preserve">Effective November 1, 2003, the predicate crime of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criminal contempt in the first degree</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was added.</w:t>
      </w:r>
    </w:p>
    <w:p w14:paraId="5AF82679" w14:textId="77777777" w:rsidR="008B1A11" w:rsidRPr="00CD7484" w:rsidRDefault="008B1A11">
      <w:pPr>
        <w:ind w:firstLine="720"/>
        <w:jc w:val="both"/>
        <w:rPr>
          <w:rFonts w:ascii="Arial" w:eastAsia="Yu Gothic UI" w:hAnsi="Arial" w:cs="Arial"/>
          <w:sz w:val="22"/>
          <w:szCs w:val="22"/>
        </w:rPr>
      </w:pPr>
      <w:r w:rsidRPr="00CD7484">
        <w:rPr>
          <w:rFonts w:ascii="Arial" w:eastAsia="Yu Gothic UI" w:hAnsi="Arial" w:cs="Arial"/>
          <w:sz w:val="22"/>
          <w:szCs w:val="22"/>
        </w:rPr>
        <w:t xml:space="preserve">Effective November 1, 2006, the predicate crime of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aggravated criminal contempt</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was added. </w:t>
      </w:r>
    </w:p>
    <w:p w14:paraId="14B0444F" w14:textId="23DFBAD6" w:rsidR="00283EB9" w:rsidRPr="00CD7484" w:rsidRDefault="008B1A11">
      <w:pPr>
        <w:spacing w:after="240"/>
        <w:ind w:firstLine="720"/>
        <w:jc w:val="both"/>
        <w:rPr>
          <w:rFonts w:ascii="Arial" w:eastAsia="Yu Gothic UI" w:hAnsi="Arial" w:cs="Arial"/>
          <w:sz w:val="22"/>
          <w:szCs w:val="22"/>
        </w:rPr>
      </w:pPr>
      <w:r w:rsidRPr="00CD7484">
        <w:rPr>
          <w:rFonts w:ascii="Arial" w:eastAsia="Yu Gothic UI" w:hAnsi="Arial" w:cs="Arial"/>
          <w:sz w:val="22"/>
          <w:szCs w:val="22"/>
        </w:rPr>
        <w:t xml:space="preserve">With respect to a crime charged prior to November 1, 2006, the charge may be adapted for use as applicable on the date charged. </w:t>
      </w:r>
    </w:p>
  </w:footnote>
  <w:footnote w:id="2">
    <w:p w14:paraId="093C2CAA" w14:textId="77777777" w:rsidR="008B1A11" w:rsidRPr="00CD7484" w:rsidRDefault="008B1A11">
      <w:pPr>
        <w:spacing w:after="240"/>
        <w:ind w:firstLine="720"/>
        <w:jc w:val="both"/>
        <w:rPr>
          <w:rFonts w:ascii="Arial" w:eastAsia="Yu Gothic UI" w:hAnsi="Arial" w:cs="Arial"/>
          <w:sz w:val="22"/>
          <w:szCs w:val="22"/>
        </w:rPr>
      </w:pPr>
      <w:r w:rsidRPr="00CD7484">
        <w:rPr>
          <w:rFonts w:ascii="Arial" w:eastAsia="Yu Gothic UI" w:hAnsi="Arial" w:cs="Arial"/>
          <w:sz w:val="22"/>
          <w:szCs w:val="22"/>
          <w:vertAlign w:val="superscript"/>
        </w:rPr>
        <w:t>2</w:t>
      </w:r>
      <w:r w:rsidRPr="00CD7484">
        <w:rPr>
          <w:rFonts w:ascii="Arial" w:eastAsia="Yu Gothic UI" w:hAnsi="Arial" w:cs="Arial"/>
          <w:sz w:val="22"/>
          <w:szCs w:val="22"/>
        </w:rPr>
        <w:t xml:space="preserve"> The 2016 revision was to account more clearly for the applicable predicate offenses as set forth in footnote one, and then in the text of the definition.</w:t>
      </w:r>
    </w:p>
  </w:footnote>
  <w:footnote w:id="3">
    <w:p w14:paraId="648A3153" w14:textId="77777777" w:rsidR="008B1A11" w:rsidRPr="00CD7484" w:rsidRDefault="008B1A11">
      <w:pPr>
        <w:spacing w:after="240"/>
        <w:ind w:firstLine="720"/>
        <w:jc w:val="both"/>
        <w:rPr>
          <w:rFonts w:ascii="Arial" w:eastAsia="Yu Gothic UI" w:hAnsi="Arial" w:cs="Arial"/>
          <w:sz w:val="22"/>
          <w:szCs w:val="22"/>
        </w:rPr>
      </w:pPr>
      <w:r w:rsidRPr="00CD7484">
        <w:rPr>
          <w:rFonts w:ascii="Arial" w:eastAsia="Yu Gothic UI" w:hAnsi="Arial" w:cs="Arial"/>
          <w:sz w:val="22"/>
          <w:szCs w:val="22"/>
          <w:vertAlign w:val="superscript"/>
        </w:rPr>
        <w:t>3</w:t>
      </w:r>
      <w:r w:rsidRPr="00CD7484">
        <w:rPr>
          <w:rFonts w:ascii="Arial" w:eastAsia="Yu Gothic UI" w:hAnsi="Arial" w:cs="Arial"/>
          <w:sz w:val="22"/>
          <w:szCs w:val="22"/>
        </w:rPr>
        <w:t xml:space="preserve"> At this point, the statute continues: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he or she commits the crime of criminal contempt in the second degree as defined in subdivision three of section 215.50 of this article...</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That language has been omitted and instead the definition of criminal contempt in the second degree is incorporated here and in the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definition</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section of the charge.  </w:t>
      </w:r>
      <w:r w:rsidRPr="00CD7484">
        <w:rPr>
          <w:rFonts w:ascii="Arial" w:eastAsia="Yu Gothic UI" w:hAnsi="Arial" w:cs="Arial"/>
          <w:i/>
          <w:iCs/>
          <w:sz w:val="22"/>
          <w:szCs w:val="22"/>
        </w:rPr>
        <w:t>See</w:t>
      </w:r>
      <w:r w:rsidRPr="00CD7484">
        <w:rPr>
          <w:rFonts w:ascii="Arial" w:eastAsia="Yu Gothic UI" w:hAnsi="Arial" w:cs="Arial"/>
          <w:sz w:val="22"/>
          <w:szCs w:val="22"/>
        </w:rPr>
        <w:t xml:space="preserve"> footnote five.</w:t>
      </w:r>
    </w:p>
  </w:footnote>
  <w:footnote w:id="4">
    <w:p w14:paraId="24932681" w14:textId="77777777" w:rsidR="008B1A11" w:rsidRPr="00CD7484" w:rsidRDefault="008B1A11">
      <w:pPr>
        <w:spacing w:after="240"/>
        <w:ind w:firstLine="720"/>
        <w:jc w:val="both"/>
        <w:rPr>
          <w:rFonts w:ascii="Arial" w:eastAsia="Yu Gothic UI" w:hAnsi="Arial" w:cs="Arial"/>
          <w:sz w:val="22"/>
          <w:szCs w:val="22"/>
        </w:rPr>
      </w:pPr>
      <w:r w:rsidRPr="00CD7484">
        <w:rPr>
          <w:rFonts w:ascii="Arial" w:eastAsia="Yu Gothic UI" w:hAnsi="Arial" w:cs="Arial"/>
          <w:sz w:val="22"/>
          <w:szCs w:val="22"/>
          <w:vertAlign w:val="superscript"/>
        </w:rPr>
        <w:t>4</w:t>
      </w:r>
      <w:r w:rsidRPr="00CD7484">
        <w:rPr>
          <w:rFonts w:ascii="Arial" w:eastAsia="Yu Gothic UI" w:hAnsi="Arial" w:cs="Arial"/>
          <w:sz w:val="22"/>
          <w:szCs w:val="22"/>
        </w:rPr>
        <w:t xml:space="preserve"> At this point in the statute, the definition lists the statutes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under</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which the applicable order must have been issued, i.e., Domestic Relations Law sections 240 and 252, Family Court Act articles four, five, six and eight, and CPL 530.12 ("Protection for victims of family violence").  Note that CPL 530.13, entitled "Protection of victims of crimes, other than family offenses,</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xml:space="preserve">  is not included in that listing of applicable statutes. </w:t>
      </w:r>
    </w:p>
  </w:footnote>
  <w:footnote w:id="5">
    <w:p w14:paraId="3C38E52D" w14:textId="77777777" w:rsidR="008B1A11" w:rsidRPr="00CD7484" w:rsidRDefault="008B1A11">
      <w:pPr>
        <w:spacing w:after="240"/>
        <w:ind w:firstLine="720"/>
        <w:jc w:val="both"/>
        <w:rPr>
          <w:rFonts w:ascii="Arial" w:eastAsia="Yu Gothic UI" w:hAnsi="Arial" w:cs="Arial"/>
          <w:sz w:val="22"/>
          <w:szCs w:val="22"/>
        </w:rPr>
      </w:pPr>
      <w:r w:rsidRPr="00CD7484">
        <w:rPr>
          <w:rFonts w:ascii="Arial" w:eastAsia="Yu Gothic UI" w:hAnsi="Arial" w:cs="Arial"/>
          <w:sz w:val="22"/>
          <w:szCs w:val="22"/>
          <w:vertAlign w:val="superscript"/>
        </w:rPr>
        <w:t>5</w:t>
      </w:r>
      <w:r w:rsidRPr="00CD7484">
        <w:rPr>
          <w:rFonts w:ascii="Arial" w:eastAsia="Yu Gothic UI" w:hAnsi="Arial" w:cs="Arial"/>
          <w:sz w:val="22"/>
          <w:szCs w:val="22"/>
        </w:rPr>
        <w:t xml:space="preserve"> The statute initially provides that the defendant is guilty of this crime if he or she committed Criminal Contempt in the Second Degree.  The definition of that crime (i.e., </w:t>
      </w: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intentionally disobeys or resists</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 has been incorporated here into the definition of this crime.</w:t>
      </w:r>
    </w:p>
  </w:footnote>
  <w:footnote w:id="6">
    <w:p w14:paraId="2D669F5A" w14:textId="613E75D6" w:rsidR="004A639A" w:rsidRPr="00EB3B84" w:rsidRDefault="004A639A" w:rsidP="004A639A">
      <w:pPr>
        <w:spacing w:before="236" w:line="277" w:lineRule="exact"/>
        <w:ind w:firstLine="720"/>
        <w:jc w:val="both"/>
        <w:textAlignment w:val="baseline"/>
        <w:rPr>
          <w:rFonts w:ascii="Arial" w:eastAsia="Arial" w:hAnsi="Arial" w:cs="Arial"/>
          <w:sz w:val="20"/>
          <w:szCs w:val="20"/>
          <w:vertAlign w:val="superscript"/>
          <w14:ligatures w14:val="none"/>
        </w:rPr>
      </w:pPr>
      <w:r w:rsidRPr="00EB3B84">
        <w:rPr>
          <w:rFonts w:ascii="Arial" w:eastAsia="Arial" w:hAnsi="Arial" w:cs="Arial"/>
          <w:sz w:val="20"/>
          <w:szCs w:val="20"/>
          <w:vertAlign w:val="superscript"/>
          <w14:ligatures w14:val="none"/>
        </w:rPr>
        <w:t>6</w:t>
      </w:r>
      <w:r w:rsidRPr="00EB3B84">
        <w:rPr>
          <w:rFonts w:ascii="Arial" w:eastAsia="Times New Roman" w:hAnsi="Arial" w:cs="Arial"/>
          <w:i/>
          <w:iCs/>
          <w:sz w:val="20"/>
          <w:szCs w:val="20"/>
          <w:bdr w:val="none" w:sz="0" w:space="0" w:color="auto" w:frame="1"/>
          <w14:ligatures w14:val="none"/>
        </w:rPr>
        <w:t>People v Barrett</w:t>
      </w:r>
      <w:r w:rsidRPr="00EB3B84">
        <w:rPr>
          <w:rFonts w:ascii="Arial" w:eastAsia="Times New Roman" w:hAnsi="Arial" w:cs="Arial"/>
          <w:sz w:val="20"/>
          <w:szCs w:val="20"/>
          <w14:ligatures w14:val="none"/>
        </w:rPr>
        <w:t>, 188 A.D.3d 1736 [4</w:t>
      </w:r>
      <w:r w:rsidRPr="00EB3B84">
        <w:rPr>
          <w:rFonts w:ascii="Arial" w:eastAsia="Times New Roman" w:hAnsi="Arial" w:cs="Arial"/>
          <w:sz w:val="20"/>
          <w:szCs w:val="20"/>
          <w:vertAlign w:val="superscript"/>
          <w14:ligatures w14:val="none"/>
        </w:rPr>
        <w:t>th</w:t>
      </w:r>
      <w:r w:rsidRPr="00EB3B84">
        <w:rPr>
          <w:rFonts w:ascii="Arial" w:eastAsia="Times New Roman" w:hAnsi="Arial" w:cs="Arial"/>
          <w:sz w:val="20"/>
          <w:szCs w:val="20"/>
          <w14:ligatures w14:val="none"/>
        </w:rPr>
        <w:t xml:space="preserve"> Dept 2020] </w:t>
      </w:r>
      <w:r w:rsidR="001B380C" w:rsidRPr="00EB3B84">
        <w:rPr>
          <w:rFonts w:ascii="Arial" w:eastAsia="Times New Roman" w:hAnsi="Arial" w:cs="Arial"/>
          <w:sz w:val="20"/>
          <w:szCs w:val="20"/>
          <w14:ligatures w14:val="none"/>
        </w:rPr>
        <w:t>held</w:t>
      </w:r>
      <w:r w:rsidRPr="00EB3B84">
        <w:rPr>
          <w:rFonts w:ascii="Arial" w:eastAsia="Times New Roman" w:hAnsi="Arial" w:cs="Arial"/>
          <w:sz w:val="20"/>
          <w:szCs w:val="20"/>
          <w14:ligatures w14:val="none"/>
        </w:rPr>
        <w:t xml:space="preserve"> that the words: “as described herein,” require proof of a violation of a stay-away provision of an order of protection.</w:t>
      </w:r>
    </w:p>
    <w:p w14:paraId="4B46109D" w14:textId="54FC0B39" w:rsidR="004A639A" w:rsidRDefault="004A639A">
      <w:pPr>
        <w:pStyle w:val="FootnoteText"/>
      </w:pPr>
    </w:p>
  </w:footnote>
  <w:footnote w:id="7">
    <w:p w14:paraId="6DBCBFAB" w14:textId="74FD35C3" w:rsidR="008B1A11" w:rsidRPr="00CD7484" w:rsidRDefault="00912164">
      <w:pPr>
        <w:spacing w:after="240"/>
        <w:ind w:firstLine="720"/>
        <w:jc w:val="both"/>
        <w:rPr>
          <w:rFonts w:ascii="Arial" w:eastAsia="Yu Gothic UI" w:hAnsi="Arial" w:cs="Arial"/>
          <w:sz w:val="22"/>
          <w:szCs w:val="22"/>
        </w:rPr>
      </w:pPr>
      <w:r>
        <w:rPr>
          <w:rFonts w:ascii="Arial" w:eastAsia="Yu Gothic UI" w:hAnsi="Arial" w:cs="Arial"/>
          <w:sz w:val="22"/>
          <w:szCs w:val="22"/>
          <w:vertAlign w:val="superscript"/>
        </w:rPr>
        <w:t>7</w:t>
      </w:r>
      <w:r w:rsidR="008B1A11" w:rsidRPr="00CD7484">
        <w:rPr>
          <w:rFonts w:ascii="Arial" w:eastAsia="Yu Gothic UI" w:hAnsi="Arial" w:cs="Arial"/>
          <w:sz w:val="22"/>
          <w:szCs w:val="22"/>
        </w:rPr>
        <w:t xml:space="preserve"> The bracketed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it to the definition of the offense and the list of elements (</w:t>
      </w:r>
      <w:r w:rsidR="008B1A11" w:rsidRPr="00CD7484">
        <w:rPr>
          <w:rFonts w:ascii="Arial" w:eastAsia="Yu Gothic UI" w:hAnsi="Arial" w:cs="Arial"/>
          <w:i/>
          <w:iCs/>
          <w:sz w:val="22"/>
          <w:szCs w:val="22"/>
        </w:rPr>
        <w:t>see</w:t>
      </w:r>
      <w:r w:rsidR="008B1A11" w:rsidRPr="00CD7484">
        <w:rPr>
          <w:rFonts w:ascii="Arial" w:eastAsia="Yu Gothic UI" w:hAnsi="Arial" w:cs="Arial"/>
          <w:sz w:val="22"/>
          <w:szCs w:val="22"/>
        </w:rPr>
        <w:t xml:space="preserve"> CPL 200.60; </w:t>
      </w:r>
      <w:r w:rsidR="008B1A11" w:rsidRPr="00CD7484">
        <w:rPr>
          <w:rFonts w:ascii="Arial" w:eastAsia="Yu Gothic UI" w:hAnsi="Arial" w:cs="Arial"/>
          <w:i/>
          <w:iCs/>
          <w:sz w:val="22"/>
          <w:szCs w:val="22"/>
        </w:rPr>
        <w:t>See</w:t>
      </w:r>
      <w:r w:rsidR="008B1A11" w:rsidRPr="00CD7484">
        <w:rPr>
          <w:rFonts w:ascii="Arial" w:eastAsia="Yu Gothic UI" w:hAnsi="Arial" w:cs="Arial"/>
          <w:sz w:val="22"/>
          <w:szCs w:val="22"/>
        </w:rPr>
        <w:t xml:space="preserve"> </w:t>
      </w:r>
      <w:r w:rsidR="008B1A11" w:rsidRPr="00CD7484">
        <w:rPr>
          <w:rFonts w:ascii="Arial" w:eastAsia="Yu Gothic UI" w:hAnsi="Arial" w:cs="Arial"/>
          <w:i/>
          <w:iCs/>
          <w:sz w:val="22"/>
          <w:szCs w:val="22"/>
        </w:rPr>
        <w:t>People v Cooper</w:t>
      </w:r>
      <w:r w:rsidR="008B1A11" w:rsidRPr="00CD7484">
        <w:rPr>
          <w:rFonts w:ascii="Arial" w:eastAsia="Yu Gothic UI" w:hAnsi="Arial" w:cs="Arial"/>
          <w:sz w:val="22"/>
          <w:szCs w:val="22"/>
        </w:rPr>
        <w:t>, 78 NY2d 476, 481-482 [1991]).</w:t>
      </w:r>
    </w:p>
  </w:footnote>
  <w:footnote w:id="8">
    <w:p w14:paraId="7D11F888" w14:textId="12F05393" w:rsidR="008B1A11" w:rsidRPr="00CD7484" w:rsidRDefault="00912164">
      <w:pPr>
        <w:spacing w:after="240"/>
        <w:ind w:firstLine="720"/>
        <w:rPr>
          <w:rFonts w:ascii="Arial" w:eastAsia="Yu Gothic UI" w:hAnsi="Arial" w:cs="Arial"/>
          <w:sz w:val="22"/>
          <w:szCs w:val="22"/>
        </w:rPr>
      </w:pPr>
      <w:r>
        <w:rPr>
          <w:rFonts w:ascii="Arial" w:eastAsia="Yu Gothic UI" w:hAnsi="Arial" w:cs="Arial"/>
          <w:sz w:val="22"/>
          <w:szCs w:val="22"/>
          <w:vertAlign w:val="superscript"/>
        </w:rPr>
        <w:t>8</w:t>
      </w:r>
      <w:r w:rsidR="008B1A11" w:rsidRPr="00CD7484">
        <w:rPr>
          <w:rFonts w:ascii="Arial" w:eastAsia="Yu Gothic UI" w:hAnsi="Arial" w:cs="Arial"/>
          <w:i/>
          <w:iCs/>
          <w:sz w:val="22"/>
          <w:szCs w:val="22"/>
        </w:rPr>
        <w:t xml:space="preserve"> See</w:t>
      </w:r>
      <w:r w:rsidR="008B1A11" w:rsidRPr="00CD7484">
        <w:rPr>
          <w:rFonts w:ascii="Arial" w:eastAsia="Yu Gothic UI" w:hAnsi="Arial" w:cs="Arial"/>
          <w:sz w:val="22"/>
          <w:szCs w:val="22"/>
        </w:rPr>
        <w:t xml:space="preserve"> Penal Law </w:t>
      </w:r>
      <w:r w:rsidR="008B1A11" w:rsidRPr="00CD7484">
        <w:rPr>
          <w:rFonts w:ascii="Arial" w:eastAsia="Yu Gothic UI" w:hAnsi="Arial" w:cs="Arial"/>
          <w:sz w:val="22"/>
          <w:szCs w:val="22"/>
        </w:rPr>
        <w:sym w:font="WP TypographicSymbols" w:char="0027"/>
      </w:r>
      <w:r w:rsidR="008B1A11" w:rsidRPr="00CD7484">
        <w:rPr>
          <w:rFonts w:ascii="Arial" w:eastAsia="Yu Gothic UI" w:hAnsi="Arial" w:cs="Arial"/>
          <w:sz w:val="22"/>
          <w:szCs w:val="22"/>
        </w:rPr>
        <w:t xml:space="preserve"> 15.05 (1).</w:t>
      </w:r>
    </w:p>
  </w:footnote>
  <w:footnote w:id="9">
    <w:p w14:paraId="35786B86" w14:textId="594BD04B" w:rsidR="008B1A11" w:rsidRDefault="00912164">
      <w:pPr>
        <w:ind w:firstLine="720"/>
        <w:jc w:val="both"/>
        <w:rPr>
          <w:rFonts w:ascii="Arial" w:eastAsia="Yu Gothic UI" w:hAnsi="Arial" w:cs="Arial"/>
          <w:sz w:val="22"/>
          <w:szCs w:val="22"/>
        </w:rPr>
      </w:pPr>
      <w:r>
        <w:rPr>
          <w:rFonts w:ascii="Arial" w:eastAsia="Yu Gothic UI" w:hAnsi="Arial" w:cs="Arial"/>
          <w:sz w:val="22"/>
          <w:szCs w:val="22"/>
          <w:vertAlign w:val="superscript"/>
        </w:rPr>
        <w:t>9</w:t>
      </w:r>
      <w:r w:rsidR="008B1A11" w:rsidRPr="00CD7484">
        <w:rPr>
          <w:rFonts w:ascii="Arial" w:eastAsia="Yu Gothic UI" w:hAnsi="Arial" w:cs="Arial"/>
          <w:sz w:val="22"/>
          <w:szCs w:val="22"/>
        </w:rPr>
        <w:t xml:space="preserve"> If the defendant has admitted the previous conviction, the crime will consist of </w:t>
      </w:r>
      <w:r w:rsidR="008B1A11" w:rsidRPr="00CD7484">
        <w:rPr>
          <w:rFonts w:ascii="Arial" w:eastAsia="Yu Gothic UI" w:hAnsi="Arial" w:cs="Arial"/>
          <w:i/>
          <w:iCs/>
          <w:sz w:val="22"/>
          <w:szCs w:val="22"/>
        </w:rPr>
        <w:t>only</w:t>
      </w:r>
      <w:r w:rsidR="008B1A11" w:rsidRPr="00CD7484">
        <w:rPr>
          <w:rFonts w:ascii="Arial" w:eastAsia="Yu Gothic UI" w:hAnsi="Arial" w:cs="Arial"/>
          <w:sz w:val="22"/>
          <w:szCs w:val="22"/>
        </w:rPr>
        <w:t xml:space="preserve"> the four elements listed above.  If the defendant has denied the previous conviction or has remained mute, add as the fifth element, selecting the appropriate alleged prior conviction:</w:t>
      </w:r>
    </w:p>
    <w:p w14:paraId="27771DDF" w14:textId="77777777" w:rsidR="00EB3B84" w:rsidRPr="00CD7484" w:rsidRDefault="00EB3B84">
      <w:pPr>
        <w:ind w:firstLine="720"/>
        <w:jc w:val="both"/>
        <w:rPr>
          <w:rFonts w:ascii="Arial" w:eastAsia="Yu Gothic UI" w:hAnsi="Arial" w:cs="Arial"/>
          <w:sz w:val="22"/>
          <w:szCs w:val="22"/>
        </w:rPr>
      </w:pPr>
    </w:p>
    <w:p w14:paraId="0E58FF6C" w14:textId="343B6ED5" w:rsidR="008B1A11" w:rsidRPr="00CD7484" w:rsidRDefault="008B1A11" w:rsidP="001B380C">
      <w:pPr>
        <w:ind w:left="720"/>
        <w:jc w:val="both"/>
        <w:rPr>
          <w:rFonts w:ascii="Arial" w:eastAsia="Yu Gothic UI" w:hAnsi="Arial" w:cs="Arial"/>
          <w:sz w:val="22"/>
          <w:szCs w:val="22"/>
        </w:rPr>
      </w:pPr>
      <w:r w:rsidRPr="00CD7484">
        <w:rPr>
          <w:rFonts w:ascii="Arial" w:eastAsia="Yu Gothic UI" w:hAnsi="Arial" w:cs="Arial"/>
          <w:sz w:val="22"/>
          <w:szCs w:val="22"/>
        </w:rPr>
        <w:sym w:font="WP TypographicSymbols" w:char="0041"/>
      </w:r>
      <w:r w:rsidRPr="00CD7484">
        <w:rPr>
          <w:rFonts w:ascii="Arial" w:eastAsia="Yu Gothic UI" w:hAnsi="Arial" w:cs="Arial"/>
          <w:sz w:val="22"/>
          <w:szCs w:val="22"/>
        </w:rPr>
        <w:t>and  5.  That the defendant has been previously convicted of the crime of (aggravated criminal contempt</w:t>
      </w:r>
      <w:r w:rsidRPr="00CD7484">
        <w:rPr>
          <w:rFonts w:ascii="Arial" w:eastAsia="Yu Gothic UI" w:hAnsi="Arial" w:cs="Arial"/>
          <w:i/>
          <w:iCs/>
          <w:sz w:val="22"/>
          <w:szCs w:val="22"/>
        </w:rPr>
        <w:t xml:space="preserve"> or</w:t>
      </w:r>
      <w:r w:rsidRPr="00CD7484">
        <w:rPr>
          <w:rFonts w:ascii="Arial" w:eastAsia="Yu Gothic UI" w:hAnsi="Arial" w:cs="Arial"/>
          <w:sz w:val="22"/>
          <w:szCs w:val="22"/>
        </w:rPr>
        <w:t xml:space="preserve"> criminal contempt in the first degree or criminal contempt in the second degree) for violating an order of protection within the preceding five years.</w:t>
      </w:r>
      <w:r w:rsidRPr="00CD7484">
        <w:rPr>
          <w:rFonts w:ascii="Arial" w:eastAsia="Yu Gothic UI" w:hAnsi="Arial" w:cs="Arial"/>
          <w:sz w:val="22"/>
          <w:szCs w:val="22"/>
        </w:rPr>
        <w:sym w:font="WP TypographicSymbols" w:char="0040"/>
      </w:r>
      <w:r w:rsidRPr="00CD7484">
        <w:rPr>
          <w:rFonts w:ascii="Arial" w:eastAsia="Yu Gothic UI" w:hAnsi="Arial" w:cs="Arial"/>
          <w:sz w:val="22"/>
          <w:szCs w:val="22"/>
        </w:rP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1A11"/>
    <w:rsid w:val="000A25B3"/>
    <w:rsid w:val="000F115C"/>
    <w:rsid w:val="001B380C"/>
    <w:rsid w:val="00283EB9"/>
    <w:rsid w:val="002B432A"/>
    <w:rsid w:val="004A639A"/>
    <w:rsid w:val="006A2638"/>
    <w:rsid w:val="007373F8"/>
    <w:rsid w:val="008B1A11"/>
    <w:rsid w:val="00912164"/>
    <w:rsid w:val="00CD7484"/>
    <w:rsid w:val="00EA4A5D"/>
    <w:rsid w:val="00EB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ACE5A"/>
  <w14:defaultImageDpi w14:val="0"/>
  <w15:docId w15:val="{5CA66AAD-CC94-426D-88F4-36DBD762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4A639A"/>
    <w:rPr>
      <w:sz w:val="20"/>
      <w:szCs w:val="20"/>
    </w:rPr>
  </w:style>
  <w:style w:type="character" w:customStyle="1" w:styleId="FootnoteTextChar">
    <w:name w:val="Footnote Text Char"/>
    <w:basedOn w:val="DefaultParagraphFont"/>
    <w:link w:val="FootnoteText"/>
    <w:uiPriority w:val="99"/>
    <w:semiHidden/>
    <w:rsid w:val="004A639A"/>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2FE4-B02F-4D28-A518-C3981D76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Donnino</cp:lastModifiedBy>
  <cp:revision>8</cp:revision>
  <dcterms:created xsi:type="dcterms:W3CDTF">2023-08-19T21:41:00Z</dcterms:created>
  <dcterms:modified xsi:type="dcterms:W3CDTF">2023-12-05T17:57:00Z</dcterms:modified>
</cp:coreProperties>
</file>