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72"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MAKING AN APPARENTLY SWORN FALSE STATEMENT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210.35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665" w:after="0" w:line="322"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Making an Apparently Sworn False Statement in the Second Degree.</w:t>
      </w:r>
    </w:p>
    <w:p>
      <w:pPr>
        <w:pageBreakBefore w:val="false"/>
        <w:spacing w:before="326"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Making an Apparently Sworn False Statement in the Second Degree when that person subscribes a written instrument knowing that it contains a statement which is in fact false and which he or she does not believe to be true, and he or she intends or believes that such instrument will be uttered or delivered with a jurat affixed thereto, and such instrument is uttered or delivered with a jurat affixed thereto.</w:t>
      </w:r>
    </w:p>
    <w:p>
      <w:pPr>
        <w:pageBreakBefore w:val="false"/>
        <w:spacing w:before="316" w:after="0" w:line="327"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7" w:after="0" w:line="322" w:lineRule="exact"/>
        <w:ind w:right="72"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JURAT means a clause wherein an attesting officer certifies, among other matters, that the subscriber has appeared before him and sworn to the truth of the contents thereof.</w:t>
      </w:r>
      <w:r>
        <w:rPr>
          <w:rFonts w:ascii="Arial" w:hAnsi="Arial" w:eastAsia="Arial"/>
          <w:strike w:val="false"/>
          <w:color w:val="000000"/>
          <w:spacing w:val="-1"/>
          <w:w w:val="100"/>
          <w:sz w:val="28"/>
          <w:vertAlign w:val="superscript"/>
          <w:lang w:val="en-US"/>
        </w:rPr>
        <w:t xml:space="preserve">1</w:t>
      </w:r>
      <w:r>
        <w:rPr>
          <w:rFonts w:ascii="Arial" w:hAnsi="Arial" w:eastAsia="Arial"/>
          <w:strike w:val="false"/>
          <w:color w:val="000000"/>
          <w:spacing w:val="-1"/>
          <w:w w:val="100"/>
          <w:sz w:val="17"/>
          <w:vertAlign w:val="baseline"/>
          <w:lang w:val="en-US"/>
        </w:rPr>
        <w:t xml:space="preserve">
</w:t>
      </w:r>
    </w:p>
    <w:p>
      <w:pPr>
        <w:pageBreakBefore w:val="false"/>
        <w:spacing w:before="327" w:after="0" w:line="324" w:lineRule="exact"/>
        <w:ind w:right="72"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 means conscious objective or purpose.</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28"/>
          <w:vertAlign w:val="baseline"/>
          <w:lang w:val="en-US"/>
        </w:rPr>
        <w:t xml:space="preserve"> Thus, a person INTENDS that a written instrument be uttered or delivered with a jurat affixed thereto when his or her conscious objective or purpose is that such instrument be uttered or delivered with a jurat affixed to it.</w:t>
      </w:r>
    </w:p>
    <w:p>
      <w:pPr>
        <w:pageBreakBefore w:val="false"/>
        <w:spacing w:before="324"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four elements:</w:t>
      </w:r>
    </w:p>
    <w:p>
      <w:pPr>
        <w:pageBreakBefore w:val="false"/>
        <w:tabs>
          <w:tab w:val="right" w:leader="none" w:pos="7992"/>
        </w:tabs>
        <w:spacing w:before="330" w:after="280" w:line="321" w:lineRule="exact"/>
        <w:ind w:right="72"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i w:val="true"/>
          <w:strike w:val="false"/>
          <w:color w:val="000000"/>
          <w:spacing w:val="0"/>
          <w:w w:val="100"/>
          <w:sz w:val="28"/>
          <w:vertAlign w:val="baseline"/>
          <w:lang w:val="en-US"/>
        </w:rPr>
        <w:t xml:space="preserve">
</w:t>
      </w:r>
    </w:p>
    <w:p>
      <w:pPr>
        <w:pageBreakBefore w:val="false"/>
        <w:tabs>
          <w:tab w:val="left" w:leader="none" w:pos="1440"/>
        </w:tabs>
        <w:spacing w:before="200" w:after="0" w:line="284" w:lineRule="exact"/>
        <w:ind w:right="72" w:left="720" w:firstLine="0"/>
        <w:jc w:val="left"/>
        <w:textAlignment w:val="baseline"/>
        <w:rPr>
          <w:rFonts w:ascii="Arial" w:hAnsi="Arial" w:eastAsia="Arial"/>
          <w:strike w:val="false"/>
          <w:color w:val="000000"/>
          <w:spacing w:val="-1"/>
          <w:w w:val="100"/>
          <w:sz w:val="17"/>
          <w:vertAlign w:val="baseline"/>
          <w:lang w:val="en-US"/>
        </w:rPr>
      </w:pPr>
      <w:r>
        <w:pict>
          <v:line strokeweight="1.2pt" strokecolor="#000000" from="107.3pt,672.95pt" to="252.05pt,672.95pt" style="position:absolute;mso-position-horizontal-relative:page;mso-position-vertical-relative:page;">
            <v:stroke dashstyle="solid"/>
          </v:line>
        </w:pict>
      </w:r>
      <w:r>
        <w:rPr>
          <w:rFonts w:ascii="Arial" w:hAnsi="Arial" w:eastAsia="Arial"/>
          <w:strike w:val="false"/>
          <w:color w:val="000000"/>
          <w:spacing w:val="-1"/>
          <w:w w:val="100"/>
          <w:sz w:val="17"/>
          <w:vertAlign w:val="baseline"/>
          <w:lang w:val="en-US"/>
        </w:rPr>
        <w:t xml:space="preserve">1	</w:t>
      </w:r>
      <w:r>
        <w:rPr>
          <w:rFonts w:ascii="Arial" w:hAnsi="Arial" w:eastAsia="Arial"/>
          <w:strike w:val="false"/>
          <w:color w:val="000000"/>
          <w:spacing w:val="-1"/>
          <w:w w:val="100"/>
          <w:sz w:val="20"/>
          <w:vertAlign w:val="baseline"/>
          <w:lang w:val="en-US"/>
        </w:rPr>
        <w:t xml:space="preserve">Penal Law §210.00(7).</w:t>
      </w:r>
    </w:p>
    <w:p>
      <w:pPr>
        <w:pageBreakBefore w:val="false"/>
        <w:tabs>
          <w:tab w:val="left" w:leader="none" w:pos="1440"/>
        </w:tabs>
        <w:spacing w:before="182" w:after="0" w:line="283" w:lineRule="exact"/>
        <w:ind w:right="72" w:left="720" w:firstLine="0"/>
        <w:jc w:val="left"/>
        <w:textAlignment w:val="baseline"/>
        <w:rPr>
          <w:rFonts w:ascii="Arial" w:hAnsi="Arial" w:eastAsia="Arial"/>
          <w:strike w:val="false"/>
          <w:color w:val="000000"/>
          <w:spacing w:val="-1"/>
          <w:w w:val="100"/>
          <w:sz w:val="17"/>
          <w:vertAlign w:val="baseline"/>
          <w:lang w:val="en-US"/>
        </w:rPr>
      </w:pPr>
      <w:r>
        <w:rPr>
          <w:rFonts w:ascii="Arial" w:hAnsi="Arial" w:eastAsia="Arial"/>
          <w:strike w:val="false"/>
          <w:color w:val="000000"/>
          <w:spacing w:val="-1"/>
          <w:w w:val="100"/>
          <w:sz w:val="17"/>
          <w:vertAlign w:val="baseline"/>
          <w:lang w:val="en-US"/>
        </w:rPr>
        <w:t xml:space="preserve">2	</w:t>
      </w:r>
      <w:r>
        <w:rPr>
          <w:rFonts w:ascii="Arial" w:hAnsi="Arial" w:eastAsia="Arial"/>
          <w:i w:val="true"/>
          <w:strike w:val="false"/>
          <w:color w:val="000000"/>
          <w:spacing w:val="-1"/>
          <w:w w:val="100"/>
          <w:sz w:val="20"/>
          <w:vertAlign w:val="baseline"/>
          <w:lang w:val="en-US"/>
        </w:rPr>
        <w:t xml:space="preserve">See </w:t>
      </w:r>
      <w:r>
        <w:rPr>
          <w:rFonts w:ascii="Arial" w:hAnsi="Arial" w:eastAsia="Arial"/>
          <w:strike w:val="false"/>
          <w:color w:val="000000"/>
          <w:spacing w:val="-1"/>
          <w:w w:val="100"/>
          <w:sz w:val="20"/>
          <w:vertAlign w:val="baseline"/>
          <w:lang w:val="en-US"/>
        </w:rPr>
        <w:t xml:space="preserve">Penal Law §15.05(1).</w:t>
      </w:r>
    </w:p>
    <w:p>
      <w:pPr>
        <w:sectPr>
          <w:type w:val="nextPage"/>
          <w:pgSz w:w="12240" w:h="15840" w:orient="portrait"/>
          <w:pgMar w:bottom="1004" w:top="1440" w:right="2074" w:left="2146" w:header="720" w:footer="720"/>
          <w:titlePg w:val="false"/>
          <w:textDirection w:val="lrTb"/>
        </w:sectPr>
      </w:pPr>
    </w:p>
    <w:p>
      <w:pPr>
        <w:pageBreakBefore w:val="false"/>
        <w:spacing w:before="220" w:after="0" w:line="327" w:lineRule="exact"/>
        <w:ind w:right="0" w:left="0" w:firstLine="216"/>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subscribed a written instrument which contained a statement that was false;</w:t>
      </w:r>
    </w:p>
    <w:p>
      <w:pPr>
        <w:pageBreakBefore w:val="false"/>
        <w:numPr>
          <w:ilvl w:val="0"/>
          <w:numId w:val="1"/>
        </w:numPr>
        <w:tabs>
          <w:tab w:val="clear" w:pos="720"/>
          <w:tab w:val="left" w:pos="1512"/>
        </w:tabs>
        <w:spacing w:before="324" w:after="0" w:line="324" w:lineRule="exact"/>
        <w:ind w:right="0" w:left="72" w:firstLine="72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did so knowing that the instrument contained a false statement which he/she did not believe to be true;</w:t>
      </w:r>
    </w:p>
    <w:p>
      <w:pPr>
        <w:pageBreakBefore w:val="false"/>
        <w:numPr>
          <w:ilvl w:val="0"/>
          <w:numId w:val="2"/>
        </w:numPr>
        <w:tabs>
          <w:tab w:val="clear" w:pos="720"/>
          <w:tab w:val="left" w:pos="1512"/>
        </w:tabs>
        <w:spacing w:before="324" w:after="0" w:line="324" w:lineRule="exact"/>
        <w:ind w:right="0" w:left="72"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intended or believed that such instrument would be uttered or delivered with a jurat affixed to it; and</w:t>
      </w:r>
    </w:p>
    <w:p>
      <w:pPr>
        <w:pageBreakBefore w:val="false"/>
        <w:numPr>
          <w:ilvl w:val="0"/>
          <w:numId w:val="2"/>
        </w:numPr>
        <w:tabs>
          <w:tab w:val="clear" w:pos="720"/>
          <w:tab w:val="left" w:pos="1512"/>
        </w:tabs>
        <w:spacing w:before="322" w:after="0" w:line="326" w:lineRule="exact"/>
        <w:ind w:right="0" w:left="72"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instrument was uttered or delivered with a jurat affixed to it.</w:t>
      </w:r>
    </w:p>
    <w:p>
      <w:pPr>
        <w:pageBreakBefore w:val="false"/>
        <w:spacing w:before="318" w:after="0" w:line="326" w:lineRule="exact"/>
        <w:ind w:right="0" w:left="0" w:firstLine="792"/>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9" w:after="5879" w:line="324" w:lineRule="exact"/>
        <w:ind w:right="0" w:left="0" w:firstLine="792"/>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9" w:after="5879" w:line="324" w:lineRule="exact"/>
        <w:sectPr>
          <w:type w:val="nextPage"/>
          <w:pgSz w:w="12240" w:h="15840" w:orient="portrait"/>
          <w:pgMar w:bottom="1024" w:top="1220" w:right="2114" w:left="2106"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220" w:right="2112" w:left="210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3"/>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