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OBSTRUCTING GOVERNMENTAL ADMINISTRATION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Penal Law § 195.07</w:t>
        <w:br/>
      </w:r>
      <w:r>
        <w:rPr>
          <w:rFonts w:ascii="Arial" w:hAnsi="Arial" w:eastAsia="Arial"/>
          <w:b w:val="true"/>
          <w:strike w:val="false"/>
          <w:color w:val="000000"/>
          <w:spacing w:val="0"/>
          <w:w w:val="100"/>
          <w:sz w:val="28"/>
          <w:vertAlign w:val="baseline"/>
          <w:lang w:val="en-US"/>
        </w:rPr>
        <w:t xml:space="preserve">(Committed on or after Sept.1, 1984)</w:t>
        <w:br/>
      </w:r>
      <w:r>
        <w:rPr>
          <w:rFonts w:ascii="Arial" w:hAnsi="Arial" w:eastAsia="Arial"/>
          <w:b w:val="true"/>
          <w:strike w:val="false"/>
          <w:color w:val="000000"/>
          <w:spacing w:val="0"/>
          <w:w w:val="100"/>
          <w:sz w:val="28"/>
          <w:vertAlign w:val="baseline"/>
          <w:lang w:val="en-US"/>
        </w:rPr>
        <w:t xml:space="preserve">(Revised December 2013)</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326"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Obstructing Governmental Administration in the First Degree.</w:t>
      </w:r>
    </w:p>
    <w:p>
      <w:pPr>
        <w:pageBreakBefore w:val="false"/>
        <w:spacing w:before="30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Obstructing Governmental Administration in the First Degree when that person intentionally [obstructs, impairs or perverts the administration of law or other governmental function or] prevents or attempts to prevent a public servant from performing an official function, by means of interfering, whether or not physical force is involved, with radio, telephone, television or other telecommunications systems owned or operated by the state, or a county, city, town, village, fire district or emergency medical service,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[and] thereby causing serious physical injury to another person.</w:t>
      </w:r>
    </w:p>
    <w:p>
      <w:pPr>
        <w:pageBreakBefore w:val="false"/>
        <w:spacing w:before="320" w:after="488"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administration of law or other governmental function or] the official function the defendant is charged with having prevented or attempted to prevent a public servant from performing must have been authorized.</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54"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7.75pt,504.25pt" to="252.05pt,504.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2013 revision was for the purpose of including as an element, as required by case law, that the predicate administration of law or other governmental or official function was authorized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footnote three).</w:t>
      </w:r>
    </w:p>
    <w:p>
      <w:pPr>
        <w:pageBreakBefore w:val="false"/>
        <w:spacing w:before="235"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statutory definition incorporates by reference the definition of Obstructing Governmental Administration in the Second Degree, which is here substituted for that reference.</w:t>
      </w:r>
    </w:p>
    <w:p>
      <w:pPr>
        <w:pageBreakBefore w:val="false"/>
        <w:spacing w:before="240" w:after="0" w:line="277" w:lineRule="exact"/>
        <w:ind w:right="0" w:left="0" w:firstLine="720"/>
        <w:jc w:val="both"/>
        <w:textAlignment w:val="baseline"/>
        <w:rPr>
          <w:rFonts w:ascii="Arial" w:hAnsi="Arial" w:eastAsia="Arial"/>
          <w:strike w:val="false"/>
          <w:color w:val="000000"/>
          <w:spacing w:val="-4"/>
          <w:w w:val="100"/>
          <w:sz w:val="14"/>
          <w:vertAlign w:val="superscript"/>
          <w:lang w:val="en-US"/>
        </w:rPr>
      </w:pPr>
      <w:r>
        <w:rPr>
          <w:rFonts w:ascii="Arial" w:hAnsi="Arial" w:eastAsia="Arial"/>
          <w:strike w:val="false"/>
          <w:color w:val="000000"/>
          <w:spacing w:val="-4"/>
          <w:w w:val="100"/>
          <w:sz w:val="14"/>
          <w:vertAlign w:val="superscript"/>
          <w:lang w:val="en-US"/>
        </w:rPr>
        <w:t xml:space="preserve">3</w:t>
      </w:r>
      <w:r>
        <w:rPr>
          <w:rFonts w:ascii="Arial" w:hAnsi="Arial" w:eastAsia="Arial"/>
          <w:i w:val="true"/>
          <w:strike w:val="false"/>
          <w:color w:val="000000"/>
          <w:spacing w:val="-4"/>
          <w:w w:val="100"/>
          <w:sz w:val="24"/>
          <w:vertAlign w:val="baseline"/>
          <w:lang w:val="en-US"/>
        </w:rPr>
        <w:t xml:space="preserve"> See People v Lupinacci</w:t>
      </w:r>
      <w:r>
        <w:rPr>
          <w:rFonts w:ascii="Arial" w:hAnsi="Arial" w:eastAsia="Arial"/>
          <w:strike w:val="false"/>
          <w:color w:val="000000"/>
          <w:spacing w:val="-4"/>
          <w:w w:val="100"/>
          <w:sz w:val="24"/>
          <w:vertAlign w:val="baseline"/>
          <w:lang w:val="en-US"/>
        </w:rPr>
        <w:t xml:space="preserve">, 191 AD2d 589 (2d Dept 1993) (“[A] defendant may not be convicted of obstructing governmental administration or interfering with an officer in the performance of an official function unless it is established that the police were engaged in authorized conduct [citations omitted].”); </w:t>
      </w:r>
      <w:r>
        <w:rPr>
          <w:rFonts w:ascii="Arial" w:hAnsi="Arial" w:eastAsia="Arial"/>
          <w:i w:val="true"/>
          <w:strike w:val="false"/>
          <w:color w:val="000000"/>
          <w:spacing w:val="-4"/>
          <w:w w:val="100"/>
          <w:sz w:val="24"/>
          <w:vertAlign w:val="baseline"/>
          <w:lang w:val="en-US"/>
        </w:rPr>
        <w:t xml:space="preserve">People v Snyder</w:t>
      </w:r>
      <w:r>
        <w:rPr>
          <w:rFonts w:ascii="Arial" w:hAnsi="Arial" w:eastAsia="Arial"/>
          <w:strike w:val="false"/>
          <w:color w:val="000000"/>
          <w:spacing w:val="-4"/>
          <w:w w:val="100"/>
          <w:sz w:val="24"/>
          <w:vertAlign w:val="baseline"/>
          <w:lang w:val="en-US"/>
        </w:rPr>
        <w:t xml:space="preserve">, 36 Misc 3d 137(A), 2012 NY Slip Op 51434 (U) (App Term, 2d Dept, 9th &amp; 10th Jud Dists 2012) (“[A] defendant cannot be convicted of obstructing governmental administration in the second degree</w:t>
      </w:r>
    </w:p>
    <w:p>
      <w:pPr>
        <w:sectPr>
          <w:type w:val="nextPage"/>
          <w:pgSz w:w="12240" w:h="15840" w:orient="portrait"/>
          <w:pgMar w:bottom="1024" w:top="1440" w:right="2145" w:left="2155" w:header="720" w:footer="0"/>
          <w:titlePg w:val="false"/>
          <w:textDirection w:val="lrTb"/>
        </w:sectPr>
      </w:pPr>
    </w:p>
    <w:p>
      <w:pPr>
        <w:pageBreakBefore w:val="false"/>
        <w:spacing w:before="0" w:after="0" w:line="322" w:lineRule="exact"/>
        <w:ind w:right="0" w:left="720" w:firstLine="720"/>
        <w:jc w:val="both"/>
        <w:textAlignment w:val="baseline"/>
        <w:rPr>
          <w:rFonts w:ascii="Arial" w:hAnsi="Arial" w:eastAsia="Arial"/>
          <w:i w:val="true"/>
          <w:strike w:val="false"/>
          <w:color w:val="000000"/>
          <w:spacing w:val="0"/>
          <w:w w:val="100"/>
          <w:sz w:val="28"/>
          <w:vertAlign w:val="baseline"/>
          <w:lang w:val="en-US"/>
        </w:rPr>
      </w:pPr>
      <w:r>
        <w:pict>
          <v:line strokeweight="1.2pt" strokecolor="#000000" from="107.55pt,454.55pt" to="252.05pt,454.55pt" style="position:absolute;mso-position-horizontal-relative:page;mso-position-vertical-relative:page;">
            <v:stroke dashstyle="solid"/>
          </v:line>
        </w:pict>
      </w:r>
      <w:r>
        <w:rPr>
          <w:rFonts w:ascii="Arial" w:hAnsi="Arial" w:eastAsia="Arial"/>
          <w:i w:val="true"/>
          <w:strike w:val="false"/>
          <w:color w:val="000000"/>
          <w:spacing w:val="0"/>
          <w:w w:val="100"/>
          <w:sz w:val="28"/>
          <w:vertAlign w:val="baseline"/>
          <w:lang w:val="en-US"/>
        </w:rPr>
        <w:t xml:space="preserve">Note: The Court should here explain what constitutes an “authorized” function in the context of the facts of the case. Examples of such a charge, include, but are not limited to, the following:</w:t>
      </w:r>
    </w:p>
    <w:p>
      <w:pPr>
        <w:pageBreakBefore w:val="false"/>
        <w:spacing w:before="322" w:after="0" w:line="323"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police officer’s arrest of any person [be it the defendant or a third party] is ‘authorized’ if the officer has probable cause to believe that a crime was committed and that such person committed that crime.”</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0" w:after="0" w:line="323"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New York City police officer’s detention of a person as a truant, with the intention of transporting him or her to the Board of Education for further investigation and processing, is ‘authorized conduct’ if the officer has a factual basis for suspecting the person to be a truant.”</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6" w:after="0" w:line="323" w:lineRule="exact"/>
        <w:ind w:right="0" w:left="72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“A police officer’s detention of a person is ‘authorized’ if the officer has reasonable suspicion to believe that the person is involved in criminal activity.”</w:t>
      </w:r>
      <w:r>
        <w:rPr>
          <w:rFonts w:ascii="Arial" w:hAnsi="Arial" w:eastAsia="Arial"/>
          <w:strike w:val="false"/>
          <w:color w:val="000000"/>
          <w:spacing w:val="-2"/>
          <w:w w:val="100"/>
          <w:sz w:val="28"/>
          <w:vertAlign w:val="superscript"/>
          <w:lang w:val="en-US"/>
        </w:rPr>
        <w:t xml:space="preserve">6</w:t>
      </w:r>
      <w:r>
        <w:rPr>
          <w:rFonts w:ascii="Arial" w:hAnsi="Arial" w:eastAsia="Arial"/>
          <w:strike w:val="false"/>
          <w:color w:val="000000"/>
          <w:spacing w:val="-2"/>
          <w:w w:val="100"/>
          <w:sz w:val="17"/>
          <w:vertAlign w:val="baseline"/>
          <w:lang w:val="en-US"/>
        </w:rPr>
        <w:t xml:space="preserve">
</w:t>
      </w:r>
    </w:p>
    <w:p>
      <w:pPr>
        <w:pageBreakBefore w:val="false"/>
        <w:spacing w:before="327" w:after="514" w:line="323"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code enforcement officer’s investigation of the manner in which a person’s property is being used is</w:t>
      </w:r>
    </w:p>
    <w:p>
      <w:pPr>
        <w:pageBreakBefore w:val="false"/>
        <w:spacing w:before="264" w:after="0" w:line="276" w:lineRule="exact"/>
        <w:ind w:right="0" w:left="0"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for interfering with a public servant in the performance of an official function unless it is established that the official function was an authorized one [citations omitted].”); </w:t>
      </w:r>
      <w:r>
        <w:rPr>
          <w:rFonts w:ascii="Arial" w:hAnsi="Arial" w:eastAsia="Arial"/>
          <w:i w:val="true"/>
          <w:strike w:val="false"/>
          <w:color w:val="000000"/>
          <w:spacing w:val="-1"/>
          <w:w w:val="100"/>
          <w:sz w:val="24"/>
          <w:vertAlign w:val="baseline"/>
          <w:lang w:val="en-US"/>
        </w:rPr>
        <w:t xml:space="preserve">People v Vogel, </w:t>
      </w:r>
      <w:r>
        <w:rPr>
          <w:rFonts w:ascii="Arial" w:hAnsi="Arial" w:eastAsia="Arial"/>
          <w:strike w:val="false"/>
          <w:color w:val="000000"/>
          <w:spacing w:val="-1"/>
          <w:w w:val="100"/>
          <w:sz w:val="24"/>
          <w:vertAlign w:val="baseline"/>
          <w:lang w:val="en-US"/>
        </w:rPr>
        <w:t xml:space="preserve">116 Misc 2d 332, 333 (App Term, 2d Dept, 9th &amp; 10th Jud Dists 1982) ("[T]he jury must be clearly instructed that defendant cannot be convicted [for obstructing governmental operations] unless the arrest was authorized [citation omitted]."). </w:t>
      </w:r>
      <w:r>
        <w:rPr>
          <w:rFonts w:ascii="Arial" w:hAnsi="Arial" w:eastAsia="Arial"/>
          <w:i w:val="true"/>
          <w:strike w:val="false"/>
          <w:color w:val="000000"/>
          <w:spacing w:val="-1"/>
          <w:w w:val="100"/>
          <w:sz w:val="24"/>
          <w:vertAlign w:val="baseline"/>
          <w:lang w:val="en-US"/>
        </w:rPr>
        <w:t xml:space="preserve">Compare Matter of Shannon B.</w:t>
      </w:r>
      <w:r>
        <w:rPr>
          <w:rFonts w:ascii="Arial" w:hAnsi="Arial" w:eastAsia="Arial"/>
          <w:strike w:val="false"/>
          <w:color w:val="000000"/>
          <w:spacing w:val="-1"/>
          <w:w w:val="100"/>
          <w:sz w:val="24"/>
          <w:vertAlign w:val="baseline"/>
          <w:lang w:val="en-US"/>
        </w:rPr>
        <w:t xml:space="preserve">, 70 NY2d 458, 461 (1987) (Because the police officer had authority to detain a suspected truant, “[defendant’s] acts of resistance, which included striking the officer, were acts which, if committed by an adult, would have constituted the crimes of obstructing governmental administration . . . and attempted assault in the second degree. . . .”).</w:t>
      </w:r>
    </w:p>
    <w:p>
      <w:pPr>
        <w:pageBreakBefore w:val="false"/>
        <w:spacing w:before="239"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CPL 140.10 (1) (a).</w:t>
      </w:r>
    </w:p>
    <w:p>
      <w:pPr>
        <w:pageBreakBefore w:val="false"/>
        <w:spacing w:before="242"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 See Matter of Shannon B.</w:t>
      </w:r>
      <w:r>
        <w:rPr>
          <w:rFonts w:ascii="Arial" w:hAnsi="Arial" w:eastAsia="Arial"/>
          <w:strike w:val="false"/>
          <w:color w:val="000000"/>
          <w:spacing w:val="0"/>
          <w:w w:val="100"/>
          <w:sz w:val="24"/>
          <w:vertAlign w:val="baseline"/>
          <w:lang w:val="en-US"/>
        </w:rPr>
        <w:t xml:space="preserve">, 70 NY2d 458, 461 (1987).</w:t>
      </w:r>
    </w:p>
    <w:p>
      <w:pPr>
        <w:pageBreakBefore w:val="false"/>
        <w:spacing w:before="243" w:after="0" w:line="276" w:lineRule="exact"/>
        <w:ind w:right="0" w:left="0" w:firstLine="0"/>
        <w:jc w:val="center"/>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24"/>
          <w:vertAlign w:val="baseline"/>
          <w:lang w:val="en-US"/>
        </w:rPr>
        <w:t xml:space="preserve"> See People v Lupinacci</w:t>
      </w:r>
      <w:r>
        <w:rPr>
          <w:rFonts w:ascii="Arial" w:hAnsi="Arial" w:eastAsia="Arial"/>
          <w:strike w:val="false"/>
          <w:color w:val="000000"/>
          <w:spacing w:val="0"/>
          <w:w w:val="100"/>
          <w:sz w:val="24"/>
          <w:vertAlign w:val="baseline"/>
          <w:lang w:val="en-US"/>
        </w:rPr>
        <w:t xml:space="preserve">, 191 AD2d 589 (2d Dept 1993).</w:t>
      </w:r>
    </w:p>
    <w:p>
      <w:pPr>
        <w:sectPr>
          <w:footerReference w:type="default" r:id="fId0"/>
          <w:type w:val="nextPage"/>
          <w:pgSz w:w="12240" w:h="15840" w:orient="portrait"/>
          <w:pgMar w:bottom="1267" w:top="1440" w:right="2113" w:left="2151" w:header="720" w:footer="1477"/>
          <w:titlePg w:val="false"/>
          <w:textDirection w:val="lrTb"/>
        </w:sectPr>
      </w:pPr>
    </w:p>
    <w:p>
      <w:pPr>
        <w:pageBreakBefore w:val="false"/>
        <w:spacing w:before="0" w:after="0" w:line="325"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‘authorized conduct’ if the officer is investigating a complaint that the person may have been violating a Town Code.”</w:t>
      </w:r>
      <w:r>
        <w:rPr>
          <w:rFonts w:ascii="Arial" w:hAnsi="Arial" w:eastAsia="Arial"/>
          <w:strike w:val="false"/>
          <w:color w:val="000000"/>
          <w:spacing w:val="-4"/>
          <w:w w:val="100"/>
          <w:sz w:val="28"/>
          <w:vertAlign w:val="superscript"/>
          <w:lang w:val="en-US"/>
        </w:rPr>
        <w:t xml:space="preserve">7</w:t>
      </w:r>
      <w:r>
        <w:rPr>
          <w:rFonts w:ascii="Arial" w:hAnsi="Arial" w:eastAsia="Arial"/>
          <w:strike w:val="false"/>
          <w:color w:val="000000"/>
          <w:spacing w:val="-4"/>
          <w:w w:val="100"/>
          <w:sz w:val="17"/>
          <w:vertAlign w:val="baseline"/>
          <w:lang w:val="en-US"/>
        </w:rPr>
        <w:t xml:space="preserve">
</w:t>
      </w:r>
    </w:p>
    <w:p>
      <w:pPr>
        <w:pageBreakBefore w:val="false"/>
        <w:spacing w:before="322" w:after="0" w:line="325" w:lineRule="exact"/>
        <w:ind w:right="0" w:left="72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police officer’s administration of an alcohol breath test to a driver is ‘authorized conduct’ if the officer does so for the purpose of determining whether the driver can safely drive a vehicle and the driver consents to the test.”</w:t>
      </w:r>
      <w:r>
        <w:rPr>
          <w:rFonts w:ascii="Arial" w:hAnsi="Arial" w:eastAsia="Arial"/>
          <w:strike w:val="false"/>
          <w:color w:val="000000"/>
          <w:spacing w:val="-4"/>
          <w:w w:val="100"/>
          <w:sz w:val="28"/>
          <w:vertAlign w:val="superscript"/>
          <w:lang w:val="en-US"/>
        </w:rPr>
        <w:t xml:space="preserve">8</w:t>
      </w:r>
      <w:r>
        <w:rPr>
          <w:rFonts w:ascii="Arial" w:hAnsi="Arial" w:eastAsia="Arial"/>
          <w:strike w:val="false"/>
          <w:color w:val="000000"/>
          <w:spacing w:val="-4"/>
          <w:w w:val="100"/>
          <w:sz w:val="17"/>
          <w:vertAlign w:val="baseline"/>
          <w:lang w:val="en-US"/>
        </w:rPr>
        <w:t xml:space="preserve">
</w:t>
      </w:r>
    </w:p>
    <w:p>
      <w:pPr>
        <w:pageBreakBefore w:val="false"/>
        <w:spacing w:before="32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4"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w:t>
      </w:r>
      <w:r>
        <w:rPr>
          <w:rFonts w:ascii="Arial" w:hAnsi="Arial" w:eastAsia="Arial"/>
          <w:strike w:val="false"/>
          <w:color w:val="000000"/>
          <w:spacing w:val="-2"/>
          <w:w w:val="100"/>
          <w:sz w:val="28"/>
          <w:vertAlign w:val="superscript"/>
          <w:lang w:val="en-US"/>
        </w:rPr>
        <w:t xml:space="preserve">9</w:t>
      </w:r>
      <w:r>
        <w:rPr>
          <w:rFonts w:ascii="Arial" w:hAnsi="Arial" w:eastAsia="Arial"/>
          <w:strike w:val="false"/>
          <w:color w:val="000000"/>
          <w:spacing w:val="-2"/>
          <w:w w:val="100"/>
          <w:sz w:val="17"/>
          <w:vertAlign w:val="baseline"/>
          <w:lang w:val="en-US"/>
        </w:rPr>
        <w:t xml:space="preserve">
</w:t>
      </w:r>
    </w:p>
    <w:p>
      <w:pPr>
        <w:pageBreakBefore w:val="false"/>
        <w:spacing w:before="324"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Intent means conscious objective or purpose.</w:t>
      </w:r>
      <w:r>
        <w:rPr>
          <w:rFonts w:ascii="Arial" w:hAnsi="Arial" w:eastAsia="Arial"/>
          <w:strike w:val="false"/>
          <w:color w:val="000000"/>
          <w:spacing w:val="-3"/>
          <w:w w:val="100"/>
          <w:sz w:val="28"/>
          <w:vertAlign w:val="superscript"/>
          <w:lang w:val="en-US"/>
        </w:rPr>
        <w:t xml:space="preserve">10</w:t>
      </w:r>
      <w:r>
        <w:rPr>
          <w:rFonts w:ascii="Arial" w:hAnsi="Arial" w:eastAsia="Arial"/>
          <w:strike w:val="false"/>
          <w:color w:val="000000"/>
          <w:spacing w:val="-3"/>
          <w:w w:val="100"/>
          <w:sz w:val="28"/>
          <w:vertAlign w:val="baseline"/>
          <w:lang w:val="en-US"/>
        </w:rPr>
        <w:t xml:space="preserve"> Thus, a person INTENTIONALLY [obstructs, impairs or perverts the administration of law or other governmental function or] prevents or attempts to prevent a public servant from performing an official function when that person’s conscious objective or purpose is to do so.</w:t>
      </w:r>
    </w:p>
    <w:p>
      <w:pPr>
        <w:pageBreakBefore w:val="false"/>
        <w:spacing w:before="322" w:after="821"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or protracted impairment of health or protracted</w:t>
      </w:r>
    </w:p>
    <w:p>
      <w:pPr>
        <w:pageBreakBefore w:val="false"/>
        <w:spacing w:before="240" w:after="0" w:line="285"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7.1pt,551.5pt" to="252.05pt,55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24"/>
          <w:vertAlign w:val="baseline"/>
          <w:lang w:val="en-US"/>
        </w:rPr>
        <w:t xml:space="preserve"> See People v Gibbs</w:t>
      </w:r>
      <w:r>
        <w:rPr>
          <w:rFonts w:ascii="Arial" w:hAnsi="Arial" w:eastAsia="Arial"/>
          <w:strike w:val="false"/>
          <w:color w:val="000000"/>
          <w:spacing w:val="0"/>
          <w:w w:val="100"/>
          <w:sz w:val="24"/>
          <w:vertAlign w:val="baseline"/>
          <w:lang w:val="en-US"/>
        </w:rPr>
        <w:t xml:space="preserve">, 15 Misc 3d 128(A), 2007 WL 926347, (App Term, 2d Dept, 9th &amp; 10th Jud Dists 2007).</w:t>
      </w:r>
    </w:p>
    <w:p>
      <w:pPr>
        <w:pageBreakBefore w:val="false"/>
        <w:spacing w:before="234" w:after="0" w:line="279"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8</w:t>
      </w:r>
      <w:r>
        <w:rPr>
          <w:rFonts w:ascii="Arial" w:hAnsi="Arial" w:eastAsia="Arial"/>
          <w:i w:val="true"/>
          <w:strike w:val="false"/>
          <w:color w:val="000000"/>
          <w:spacing w:val="0"/>
          <w:w w:val="100"/>
          <w:sz w:val="24"/>
          <w:vertAlign w:val="baseline"/>
          <w:lang w:val="en-US"/>
        </w:rPr>
        <w:t xml:space="preserve"> See People v Mitchell</w:t>
      </w:r>
      <w:r>
        <w:rPr>
          <w:rFonts w:ascii="Arial" w:hAnsi="Arial" w:eastAsia="Arial"/>
          <w:strike w:val="false"/>
          <w:color w:val="000000"/>
          <w:spacing w:val="0"/>
          <w:w w:val="100"/>
          <w:sz w:val="24"/>
          <w:vertAlign w:val="baseline"/>
          <w:lang w:val="en-US"/>
        </w:rPr>
        <w:t xml:space="preserve">, 7 Misc 3d 131(A), 2005 WL 887138 (App Term, 2d Dept, 9th &amp; 10th Jud Dists 2005).</w:t>
      </w:r>
    </w:p>
    <w:p>
      <w:pPr>
        <w:pageBreakBefore w:val="false"/>
        <w:spacing w:before="239" w:after="0" w:line="279"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9</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10.00 (15). The term “public servant” includes a person who has been elected or designated to become a public servant.</w:t>
      </w:r>
    </w:p>
    <w:p>
      <w:pPr>
        <w:pageBreakBefore w:val="false"/>
        <w:spacing w:before="233" w:after="0" w:line="279"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10</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 (1).</w:t>
      </w:r>
    </w:p>
    <w:p>
      <w:pPr>
        <w:sectPr>
          <w:type w:val="nextPage"/>
          <w:pgSz w:w="12240" w:h="15840" w:orient="portrait"/>
          <w:pgMar w:bottom="1268" w:top="1440" w:right="2122" w:left="2142" w:header="720" w:footer="1473"/>
          <w:titlePg w:val="false"/>
          <w:textDirection w:val="lrTb"/>
        </w:sectPr>
      </w:pPr>
    </w:p>
    <w:p>
      <w:pPr>
        <w:pageBreakBefore w:val="false"/>
        <w:spacing w:before="43" w:after="0" w:line="319" w:lineRule="exact"/>
        <w:ind w:right="0" w:left="0" w:firstLine="0"/>
        <w:jc w:val="left"/>
        <w:textAlignment w:val="baseline"/>
        <w:rPr>
          <w:rFonts w:ascii="Arial" w:hAnsi="Arial" w:eastAsia="Arial"/>
          <w:strike w:val="false"/>
          <w:color w:val="000000"/>
          <w:spacing w:val="-2"/>
          <w:w w:val="100"/>
          <w:sz w:val="28"/>
          <w:vertAlign w:val="baseline"/>
          <w:lang w:val="en-US"/>
        </w:rPr>
      </w:pPr>
      <w:r>
        <w:pict>
          <v:line strokeweight="1.2pt" strokecolor="#000000" from="106.95pt,644.65pt" to="252.05pt,644.65pt" style="position:absolute;mso-position-horizontal-relative:page;mso-position-vertical-relative:page;">
            <v:stroke dashstyle="solid"/>
          </v:line>
        </w:pict>
      </w:r>
      <w:r>
        <w:rPr>
          <w:rFonts w:ascii="Arial" w:hAnsi="Arial" w:eastAsia="Arial"/>
          <w:strike w:val="false"/>
          <w:color w:val="000000"/>
          <w:spacing w:val="-2"/>
          <w:w w:val="100"/>
          <w:sz w:val="28"/>
          <w:vertAlign w:val="baseline"/>
          <w:lang w:val="en-US"/>
        </w:rPr>
        <w:t xml:space="preserve">loss or impairment of the function of any bodily organ.</w:t>
      </w:r>
      <w:r>
        <w:rPr>
          <w:rFonts w:ascii="Arial" w:hAnsi="Arial" w:eastAsia="Arial"/>
          <w:strike w:val="false"/>
          <w:color w:val="000000"/>
          <w:spacing w:val="-2"/>
          <w:w w:val="100"/>
          <w:sz w:val="28"/>
          <w:vertAlign w:val="superscript"/>
          <w:lang w:val="en-US"/>
        </w:rPr>
        <w:t xml:space="preserve">11</w:t>
      </w:r>
      <w:r>
        <w:rPr>
          <w:rFonts w:ascii="Arial" w:hAnsi="Arial" w:eastAsia="Arial"/>
          <w:strike w:val="false"/>
          <w:color w:val="000000"/>
          <w:spacing w:val="-2"/>
          <w:w w:val="100"/>
          <w:sz w:val="17"/>
          <w:vertAlign w:val="baseline"/>
          <w:lang w:val="en-US"/>
        </w:rPr>
        <w:t xml:space="preserve">
</w:t>
      </w:r>
    </w:p>
    <w:p>
      <w:pPr>
        <w:pageBreakBefore w:val="false"/>
        <w:spacing w:before="348"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serious physical injury was caused, then it does not matter that the serious physical injury was caused unintentionally or accidentally, rather than with an intention to cause serious physical injury, or that it resulted from the victim's fear or fright.</w:t>
      </w:r>
      <w:r>
        <w:rPr>
          <w:rFonts w:ascii="Arial" w:hAnsi="Arial" w:eastAsia="Arial"/>
          <w:strike w:val="false"/>
          <w:color w:val="000000"/>
          <w:spacing w:val="0"/>
          <w:w w:val="100"/>
          <w:sz w:val="28"/>
          <w:vertAlign w:val="superscript"/>
          <w:lang w:val="en-US"/>
        </w:rPr>
        <w:t xml:space="preserve">12</w:t>
      </w:r>
      <w:r>
        <w:rPr>
          <w:rFonts w:ascii="Arial" w:hAnsi="Arial" w:eastAsia="Arial"/>
          <w:strike w:val="false"/>
          <w:color w:val="000000"/>
          <w:spacing w:val="0"/>
          <w:w w:val="100"/>
          <w:sz w:val="17"/>
          <w:vertAlign w:val="baseline"/>
          <w:lang w:val="en-US"/>
        </w:rPr>
        <w:t xml:space="preserve">
</w:t>
      </w:r>
    </w:p>
    <w:p>
      <w:pPr>
        <w:pageBreakBefore w:val="false"/>
        <w:spacing w:before="323"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360"/>
          <w:tab w:val="left" w:pos="1080"/>
        </w:tabs>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w:t>
      </w:r>
      <w:r>
        <w:rPr>
          <w:rFonts w:ascii="Arial" w:hAnsi="Arial" w:eastAsia="Arial"/>
          <w:i w:val="true"/>
          <w:strike w:val="false"/>
          <w:color w:val="000000"/>
          <w:spacing w:val="0"/>
          <w:w w:val="100"/>
          <w:sz w:val="28"/>
          <w:u w:val="single"/>
          <w:vertAlign w:val="baseline"/>
          <w:lang w:val="en-US"/>
        </w:rPr>
        <w:t xml:space="preserve"> (date)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w:t>
      </w:r>
      <w:r>
        <w:rPr>
          <w:rFonts w:ascii="Arial" w:hAnsi="Arial" w:eastAsia="Arial"/>
          <w:i w:val="true"/>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8"/>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[obstructed, impaired or perverted the administration of law or other governmental function or] prevented or attempted to prevent a public servant from performing an official function;</w:t>
      </w:r>
    </w:p>
    <w:p>
      <w:pPr>
        <w:pageBreakBefore w:val="false"/>
        <w:numPr>
          <w:ilvl w:val="0"/>
          <w:numId w:val="1"/>
        </w:numPr>
        <w:tabs>
          <w:tab w:val="clear" w:pos="360"/>
          <w:tab w:val="left" w:pos="1080"/>
        </w:tabs>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 and by means of interfering, whether or not physical force is involved, with radio, telephone, television or other telecommunications systems owned or operated by the state, or a county, city, town, village, fire district or emergency medical service;</w:t>
      </w:r>
    </w:p>
    <w:p>
      <w:pPr>
        <w:pageBreakBefore w:val="false"/>
        <w:numPr>
          <w:ilvl w:val="0"/>
          <w:numId w:val="1"/>
        </w:numPr>
        <w:tabs>
          <w:tab w:val="clear" w:pos="360"/>
          <w:tab w:val="left" w:pos="1080"/>
        </w:tabs>
        <w:spacing w:before="316"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administration of law or other governmental function or] the official function was authorized; and</w:t>
      </w:r>
    </w:p>
    <w:p>
      <w:pPr>
        <w:pageBreakBefore w:val="false"/>
        <w:numPr>
          <w:ilvl w:val="0"/>
          <w:numId w:val="1"/>
        </w:numPr>
        <w:tabs>
          <w:tab w:val="clear" w:pos="360"/>
          <w:tab w:val="left" w:pos="1080"/>
        </w:tabs>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thereby caused serious physical injury to another person.</w:t>
      </w:r>
    </w:p>
    <w:p>
      <w:pPr>
        <w:pageBreakBefore w:val="false"/>
        <w:spacing w:before="329" w:after="735"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254"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11</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10.00 (10).</w:t>
      </w:r>
    </w:p>
    <w:p>
      <w:pPr>
        <w:pageBreakBefore w:val="false"/>
        <w:spacing w:before="246" w:after="0" w:line="273"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12</w:t>
      </w:r>
      <w:r>
        <w:rPr>
          <w:rFonts w:ascii="Arial" w:hAnsi="Arial" w:eastAsia="Arial"/>
          <w:i w:val="true"/>
          <w:strike w:val="false"/>
          <w:color w:val="000000"/>
          <w:spacing w:val="0"/>
          <w:w w:val="100"/>
          <w:sz w:val="24"/>
          <w:vertAlign w:val="baseline"/>
          <w:lang w:val="en-US"/>
        </w:rPr>
        <w:t xml:space="preserve"> Compare People v Campbell</w:t>
      </w:r>
      <w:r>
        <w:rPr>
          <w:rFonts w:ascii="Arial" w:hAnsi="Arial" w:eastAsia="Arial"/>
          <w:strike w:val="false"/>
          <w:color w:val="000000"/>
          <w:spacing w:val="0"/>
          <w:w w:val="100"/>
          <w:sz w:val="24"/>
          <w:vertAlign w:val="baseline"/>
          <w:lang w:val="en-US"/>
        </w:rPr>
        <w:t xml:space="preserve">, 72 NY2d 602 (1988).</w:t>
      </w:r>
    </w:p>
    <w:p>
      <w:pPr>
        <w:sectPr>
          <w:type w:val="nextPage"/>
          <w:pgSz w:w="12240" w:h="15840" w:orient="portrait"/>
          <w:pgMar w:bottom="1267" w:top="1400" w:right="2125" w:left="2139" w:header="720" w:footer="1478"/>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268" w:top="1440" w:right="2129" w:left="2135" w:header="720" w:footer="147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4"/>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