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9F" w:rsidRDefault="0067209F">
      <w:pPr>
        <w:kinsoku w:val="0"/>
        <w:overflowPunct w:val="0"/>
        <w:autoSpaceDE/>
        <w:autoSpaceDN/>
        <w:adjustRightInd/>
        <w:spacing w:before="9" w:line="408" w:lineRule="exact"/>
        <w:jc w:val="center"/>
        <w:textAlignment w:val="baseline"/>
        <w:rPr>
          <w:rFonts w:ascii="Arial" w:hAnsi="Arial"/>
          <w:b/>
          <w:sz w:val="28"/>
        </w:rPr>
      </w:pPr>
      <w:bookmarkStart w:id="0" w:name="_GoBack"/>
      <w:bookmarkEnd w:id="0"/>
      <w:r>
        <w:rPr>
          <w:rFonts w:ascii="Arial" w:hAnsi="Arial"/>
          <w:b/>
          <w:sz w:val="28"/>
        </w:rPr>
        <w:t>SCHEME TO DEFRAUD THE STATE</w:t>
      </w:r>
      <w:r>
        <w:rPr>
          <w:rFonts w:ascii="Arial" w:hAnsi="Arial"/>
          <w:b/>
          <w:sz w:val="28"/>
        </w:rPr>
        <w:br/>
        <w:t>BY UNLAWFULLY SELLING PRESCRIPTIONS</w:t>
      </w:r>
      <w:r>
        <w:rPr>
          <w:rFonts w:ascii="Arial" w:hAnsi="Arial"/>
          <w:b/>
          <w:sz w:val="28"/>
        </w:rPr>
        <w:br/>
        <w:t>Penal Law § 190.70</w:t>
      </w:r>
      <w:r>
        <w:rPr>
          <w:rFonts w:ascii="Arial" w:hAnsi="Arial"/>
          <w:b/>
          <w:sz w:val="28"/>
        </w:rPr>
        <w:br/>
        <w:t>(Committed on or after April 2, 1992)</w:t>
      </w:r>
    </w:p>
    <w:p w:rsidR="0067209F" w:rsidRDefault="0067209F">
      <w:pPr>
        <w:kinsoku w:val="0"/>
        <w:overflowPunct w:val="0"/>
        <w:autoSpaceDE/>
        <w:autoSpaceDN/>
        <w:adjustRightInd/>
        <w:spacing w:before="567" w:line="345"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Scheme to Defraud the State by Unlawfully Selling Prescriptions.</w:t>
      </w:r>
    </w:p>
    <w:p w:rsidR="0067209F" w:rsidRDefault="0067209F">
      <w:pPr>
        <w:kinsoku w:val="0"/>
        <w:overflowPunct w:val="0"/>
        <w:autoSpaceDE/>
        <w:autoSpaceDN/>
        <w:adjustRightInd/>
        <w:spacing w:before="161" w:line="349" w:lineRule="exact"/>
        <w:ind w:firstLine="720"/>
        <w:jc w:val="both"/>
        <w:textAlignment w:val="baseline"/>
        <w:rPr>
          <w:rFonts w:ascii="Arial" w:hAnsi="Arial"/>
          <w:spacing w:val="-4"/>
          <w:sz w:val="28"/>
        </w:rPr>
      </w:pPr>
      <w:r>
        <w:rPr>
          <w:rFonts w:ascii="Arial" w:hAnsi="Arial"/>
          <w:spacing w:val="-4"/>
          <w:sz w:val="28"/>
        </w:rPr>
        <w:t>Under our law, a person is guilty of Scheme to Defraud the State by Unlawfully Selling Prescriptions when he or she engages, with intent to defraud the state, in a scheme constituting a systematic, ongoing course of conduct</w:t>
      </w:r>
      <w:r>
        <w:rPr>
          <w:rFonts w:ascii="Arial" w:hAnsi="Arial"/>
          <w:spacing w:val="-4"/>
          <w:sz w:val="28"/>
          <w:vertAlign w:val="superscript"/>
        </w:rPr>
        <w:t>1</w:t>
      </w:r>
      <w:r>
        <w:rPr>
          <w:rFonts w:ascii="Arial" w:hAnsi="Arial"/>
          <w:spacing w:val="-4"/>
          <w:sz w:val="28"/>
        </w:rPr>
        <w:t xml:space="preserve"> to make, sell, deliver for sale or offer for sale one or more prescriptions.</w:t>
      </w:r>
    </w:p>
    <w:p w:rsidR="0067209F" w:rsidRDefault="0067209F">
      <w:pPr>
        <w:kinsoku w:val="0"/>
        <w:overflowPunct w:val="0"/>
        <w:autoSpaceDE/>
        <w:autoSpaceDN/>
        <w:adjustRightInd/>
        <w:spacing w:before="190" w:line="318" w:lineRule="exact"/>
        <w:textAlignment w:val="baseline"/>
        <w:rPr>
          <w:rFonts w:ascii="Arial" w:hAnsi="Arial"/>
          <w:i/>
          <w:sz w:val="28"/>
          <w:u w:val="single"/>
        </w:rPr>
      </w:pPr>
      <w:r>
        <w:rPr>
          <w:rFonts w:ascii="Arial" w:hAnsi="Arial"/>
          <w:i/>
          <w:sz w:val="28"/>
          <w:u w:val="single"/>
        </w:rPr>
        <w:t xml:space="preserve">Select appropriate alternative: </w:t>
      </w:r>
    </w:p>
    <w:p w:rsidR="0067209F" w:rsidRDefault="0067209F">
      <w:pPr>
        <w:kinsoku w:val="0"/>
        <w:overflowPunct w:val="0"/>
        <w:autoSpaceDE/>
        <w:autoSpaceDN/>
        <w:adjustRightInd/>
        <w:spacing w:before="155" w:line="350" w:lineRule="exact"/>
        <w:ind w:left="720"/>
        <w:jc w:val="both"/>
        <w:textAlignment w:val="baseline"/>
        <w:rPr>
          <w:rFonts w:ascii="Arial" w:hAnsi="Arial"/>
          <w:sz w:val="28"/>
        </w:rPr>
      </w:pPr>
      <w:r>
        <w:rPr>
          <w:rFonts w:ascii="Arial" w:hAnsi="Arial"/>
          <w:sz w:val="28"/>
        </w:rPr>
        <w:t>and so obtains goods or services from the state with a value in excess of one thousand dollars or</w:t>
      </w:r>
    </w:p>
    <w:p w:rsidR="0067209F" w:rsidRDefault="0067209F">
      <w:pPr>
        <w:kinsoku w:val="0"/>
        <w:overflowPunct w:val="0"/>
        <w:autoSpaceDE/>
        <w:autoSpaceDN/>
        <w:adjustRightInd/>
        <w:spacing w:before="159" w:line="350" w:lineRule="exact"/>
        <w:ind w:left="720"/>
        <w:jc w:val="both"/>
        <w:textAlignment w:val="baseline"/>
        <w:rPr>
          <w:rFonts w:ascii="Arial" w:hAnsi="Arial"/>
          <w:spacing w:val="-1"/>
          <w:sz w:val="28"/>
        </w:rPr>
      </w:pPr>
      <w:r>
        <w:rPr>
          <w:rFonts w:ascii="Arial" w:hAnsi="Arial"/>
          <w:spacing w:val="-1"/>
          <w:sz w:val="28"/>
        </w:rPr>
        <w:t>causes the state to reimburse another in excess of one thousand dollars for the delivery of such goods or services</w:t>
      </w:r>
    </w:p>
    <w:p w:rsidR="0067209F" w:rsidRDefault="0067209F">
      <w:pPr>
        <w:kinsoku w:val="0"/>
        <w:overflowPunct w:val="0"/>
        <w:autoSpaceDE/>
        <w:autoSpaceDN/>
        <w:adjustRightInd/>
        <w:spacing w:before="158" w:line="351" w:lineRule="exact"/>
        <w:ind w:firstLine="720"/>
        <w:jc w:val="both"/>
        <w:textAlignment w:val="baseline"/>
        <w:rPr>
          <w:rFonts w:ascii="Arial" w:hAnsi="Arial"/>
          <w:sz w:val="28"/>
        </w:rPr>
      </w:pPr>
      <w:r>
        <w:rPr>
          <w:rFonts w:ascii="Arial" w:hAnsi="Arial"/>
          <w:sz w:val="28"/>
        </w:rPr>
        <w:t>The following term used in that definition has a special meaning:</w:t>
      </w:r>
    </w:p>
    <w:p w:rsidR="0067209F" w:rsidRDefault="0067209F">
      <w:pPr>
        <w:kinsoku w:val="0"/>
        <w:overflowPunct w:val="0"/>
        <w:autoSpaceDE/>
        <w:autoSpaceDN/>
        <w:adjustRightInd/>
        <w:spacing w:before="162" w:line="346" w:lineRule="exact"/>
        <w:ind w:firstLine="720"/>
        <w:jc w:val="both"/>
        <w:textAlignment w:val="baseline"/>
        <w:rPr>
          <w:rFonts w:ascii="Arial" w:hAnsi="Arial"/>
          <w:sz w:val="17"/>
        </w:rPr>
      </w:pPr>
      <w:r>
        <w:rPr>
          <w:rFonts w:ascii="Arial" w:hAnsi="Arial"/>
          <w:sz w:val="28"/>
        </w:rPr>
        <w:t>INTENT means conscious objective or purpose. Thus, a person acts with intent to defraud the state when that person’s conscious objective or purpose is to do so.</w:t>
      </w:r>
      <w:r>
        <w:rPr>
          <w:rFonts w:ascii="Arial" w:hAnsi="Arial"/>
          <w:sz w:val="28"/>
          <w:vertAlign w:val="superscript"/>
        </w:rPr>
        <w:t>2</w:t>
      </w:r>
    </w:p>
    <w:p w:rsidR="0067209F" w:rsidRDefault="0067209F">
      <w:pPr>
        <w:kinsoku w:val="0"/>
        <w:overflowPunct w:val="0"/>
        <w:autoSpaceDE/>
        <w:autoSpaceDN/>
        <w:adjustRightInd/>
        <w:spacing w:before="162" w:after="325" w:line="351"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w:t>
      </w:r>
    </w:p>
    <w:p w:rsidR="0067209F" w:rsidRDefault="00F210B9">
      <w:pPr>
        <w:kinsoku w:val="0"/>
        <w:overflowPunct w:val="0"/>
        <w:autoSpaceDE/>
        <w:autoSpaceDN/>
        <w:adjustRightInd/>
        <w:spacing w:before="256" w:line="278" w:lineRule="exact"/>
        <w:jc w:val="both"/>
        <w:textAlignment w:val="baseline"/>
        <w:rPr>
          <w:rFonts w:ascii="Arial" w:hAnsi="Arial"/>
          <w:spacing w:val="-3"/>
          <w:sz w:val="24"/>
        </w:rPr>
      </w:pPr>
      <w:r>
        <w:rPr>
          <w:noProof/>
        </w:rPr>
        <mc:AlternateContent>
          <mc:Choice Requires="wps">
            <w:drawing>
              <wp:anchor distT="0" distB="0" distL="0" distR="0" simplePos="0" relativeHeight="251658240" behindDoc="0" locked="0" layoutInCell="0" allowOverlap="1">
                <wp:simplePos x="0" y="0"/>
                <wp:positionH relativeFrom="page">
                  <wp:posOffset>1371600</wp:posOffset>
                </wp:positionH>
                <wp:positionV relativeFrom="page">
                  <wp:posOffset>7174865</wp:posOffset>
                </wp:positionV>
                <wp:extent cx="18294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6C6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64.95pt" to="252.05pt,5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3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" o:allowincell="f" strokeweight="1.2pt">
                <w10:wrap type="square" anchorx="page" anchory="page"/>
              </v:line>
            </w:pict>
          </mc:Fallback>
        </mc:AlternateContent>
      </w:r>
      <w:r w:rsidR="0067209F">
        <w:rPr>
          <w:rFonts w:ascii="Arial" w:hAnsi="Arial"/>
          <w:spacing w:val="-3"/>
          <w:sz w:val="14"/>
          <w:vertAlign w:val="superscript"/>
        </w:rPr>
        <w:t>1</w:t>
      </w:r>
      <w:r w:rsidR="0067209F">
        <w:rPr>
          <w:rFonts w:ascii="Arial" w:hAnsi="Arial"/>
          <w:spacing w:val="-3"/>
          <w:sz w:val="24"/>
        </w:rPr>
        <w:t xml:space="preserve"> The term “course of conduct” is used in other statutes. As used in the crimes of “stalking,” it has been held that it was not error to decline to define the term. </w:t>
      </w:r>
      <w:r w:rsidR="0067209F">
        <w:rPr>
          <w:rFonts w:ascii="Arial" w:hAnsi="Arial"/>
          <w:i/>
          <w:spacing w:val="-3"/>
          <w:sz w:val="24"/>
        </w:rPr>
        <w:t>See People v Dickson</w:t>
      </w:r>
      <w:r w:rsidR="0067209F">
        <w:rPr>
          <w:rFonts w:ascii="Arial" w:hAnsi="Arial"/>
          <w:spacing w:val="-3"/>
          <w:sz w:val="24"/>
        </w:rPr>
        <w:t xml:space="preserve">, 82 AD3d 1289, 1291 (3d Dept. 2011). On the other hand, </w:t>
      </w:r>
      <w:r w:rsidR="0067209F">
        <w:rPr>
          <w:rFonts w:ascii="Arial" w:hAnsi="Arial"/>
          <w:i/>
          <w:spacing w:val="-3"/>
          <w:sz w:val="24"/>
        </w:rPr>
        <w:t>People v. Ubbink</w:t>
      </w:r>
      <w:r w:rsidR="0067209F">
        <w:rPr>
          <w:rFonts w:ascii="Arial" w:hAnsi="Arial"/>
          <w:spacing w:val="-3"/>
          <w:sz w:val="24"/>
        </w:rPr>
        <w:t>, 120 AD3d 1574, 1575-76 (4th Dept. 2014), noted, and a court may wish to charge, that "course of conduct" constitutes "a series of acts ‘evidencing a continuity of purpose'" (</w:t>
      </w:r>
      <w:r w:rsidR="0067209F">
        <w:rPr>
          <w:rFonts w:ascii="Arial" w:hAnsi="Arial"/>
          <w:i/>
          <w:spacing w:val="-3"/>
          <w:sz w:val="24"/>
        </w:rPr>
        <w:t>quoting People v Payton</w:t>
      </w:r>
      <w:r w:rsidR="0067209F">
        <w:rPr>
          <w:rFonts w:ascii="Arial" w:hAnsi="Arial"/>
          <w:spacing w:val="-3"/>
          <w:sz w:val="24"/>
        </w:rPr>
        <w:t xml:space="preserve">, 161 Misc 2d 170, 174 (Crim Ct., Kings County, 1994). </w:t>
      </w:r>
      <w:r w:rsidR="0067209F">
        <w:rPr>
          <w:rFonts w:ascii="Arial" w:hAnsi="Arial"/>
          <w:i/>
          <w:spacing w:val="-3"/>
          <w:sz w:val="24"/>
        </w:rPr>
        <w:t>See also People v Murray</w:t>
      </w:r>
      <w:r w:rsidR="0067209F">
        <w:rPr>
          <w:rFonts w:ascii="Arial" w:hAnsi="Arial"/>
          <w:spacing w:val="-3"/>
          <w:sz w:val="24"/>
        </w:rPr>
        <w:t xml:space="preserve">, 167 Misc2d 857 (Crim. Ct., N.Y. County, 1995); </w:t>
      </w:r>
      <w:r w:rsidR="0067209F">
        <w:rPr>
          <w:rFonts w:ascii="Arial" w:hAnsi="Arial"/>
          <w:i/>
          <w:spacing w:val="-3"/>
          <w:sz w:val="24"/>
        </w:rPr>
        <w:t>People v Monroe</w:t>
      </w:r>
      <w:r w:rsidR="0067209F">
        <w:rPr>
          <w:rFonts w:ascii="Arial" w:hAnsi="Arial"/>
          <w:spacing w:val="-3"/>
          <w:sz w:val="24"/>
        </w:rPr>
        <w:t xml:space="preserve">, 183 Misc2d 374 (Crim. Ct., N.Y. County, 2000). For an example of facts constituting a "course of conduct" for a stalking crime, </w:t>
      </w:r>
      <w:r w:rsidR="0067209F">
        <w:rPr>
          <w:rFonts w:ascii="Arial" w:hAnsi="Arial"/>
          <w:i/>
          <w:spacing w:val="-3"/>
          <w:sz w:val="24"/>
        </w:rPr>
        <w:t>see People v Stuart</w:t>
      </w:r>
      <w:r w:rsidR="0067209F">
        <w:rPr>
          <w:rFonts w:ascii="Arial" w:hAnsi="Arial"/>
          <w:spacing w:val="-3"/>
          <w:sz w:val="24"/>
        </w:rPr>
        <w:t>, 100 NY2d 412 (2003).</w:t>
      </w:r>
    </w:p>
    <w:p w:rsidR="0067209F" w:rsidRDefault="0067209F">
      <w:pPr>
        <w:kinsoku w:val="0"/>
        <w:overflowPunct w:val="0"/>
        <w:autoSpaceDE/>
        <w:autoSpaceDN/>
        <w:adjustRightInd/>
        <w:spacing w:before="266" w:line="241" w:lineRule="exact"/>
        <w:ind w:left="216"/>
        <w:textAlignment w:val="baseline"/>
        <w:rPr>
          <w:rFonts w:ascii="Arial" w:hAnsi="Arial"/>
          <w:sz w:val="19"/>
        </w:rPr>
      </w:pPr>
      <w:r>
        <w:rPr>
          <w:sz w:val="14"/>
        </w:rPr>
        <w:t xml:space="preserve">2 </w:t>
      </w:r>
      <w:r>
        <w:rPr>
          <w:rFonts w:ascii="Arial" w:hAnsi="Arial"/>
          <w:i/>
          <w:sz w:val="19"/>
        </w:rPr>
        <w:t xml:space="preserve">See </w:t>
      </w:r>
      <w:r>
        <w:rPr>
          <w:rFonts w:ascii="Arial" w:hAnsi="Arial"/>
          <w:sz w:val="19"/>
        </w:rPr>
        <w:t>Penal Law § 15.05(1).</w:t>
      </w:r>
    </w:p>
    <w:p w:rsidR="0067209F" w:rsidRDefault="0067209F">
      <w:pPr>
        <w:widowControl/>
        <w:rPr>
          <w:sz w:val="24"/>
        </w:rPr>
        <w:sectPr w:rsidR="0067209F">
          <w:pgSz w:w="12240" w:h="15840"/>
          <w:pgMar w:top="1000" w:right="2140" w:bottom="284" w:left="2160" w:header="720" w:footer="720" w:gutter="0"/>
          <w:cols w:space="720"/>
          <w:noEndnote/>
        </w:sectPr>
      </w:pPr>
    </w:p>
    <w:p w:rsidR="0067209F" w:rsidRDefault="0067209F">
      <w:pPr>
        <w:kinsoku w:val="0"/>
        <w:overflowPunct w:val="0"/>
        <w:autoSpaceDE/>
        <w:autoSpaceDN/>
        <w:adjustRightInd/>
        <w:spacing w:before="2" w:line="316" w:lineRule="exact"/>
        <w:jc w:val="center"/>
        <w:textAlignment w:val="baseline"/>
        <w:rPr>
          <w:rFonts w:ascii="Arial" w:hAnsi="Arial"/>
          <w:spacing w:val="-5"/>
          <w:sz w:val="28"/>
        </w:rPr>
      </w:pPr>
      <w:r>
        <w:rPr>
          <w:rFonts w:ascii="Arial" w:hAnsi="Arial"/>
          <w:spacing w:val="-5"/>
          <w:sz w:val="28"/>
        </w:rPr>
        <w:lastRenderedPageBreak/>
        <w:t>beyond a reasonable doubt, each of the following three elements:</w:t>
      </w:r>
    </w:p>
    <w:p w:rsidR="0067209F" w:rsidRDefault="0067209F">
      <w:pPr>
        <w:numPr>
          <w:ilvl w:val="0"/>
          <w:numId w:val="1"/>
        </w:numPr>
        <w:kinsoku w:val="0"/>
        <w:overflowPunct w:val="0"/>
        <w:autoSpaceDE/>
        <w:autoSpaceDN/>
        <w:adjustRightInd/>
        <w:spacing w:before="160" w:line="349" w:lineRule="exact"/>
        <w:jc w:val="both"/>
        <w:textAlignment w:val="baseline"/>
        <w:rPr>
          <w:rFonts w:ascii="Arial" w:hAnsi="Arial"/>
          <w:sz w:val="28"/>
        </w:rPr>
      </w:pPr>
      <w:r>
        <w:rPr>
          <w:rFonts w:ascii="Arial" w:hAnsi="Arial"/>
          <w:sz w:val="28"/>
        </w:rPr>
        <w:t xml:space="preserve">That on or about </w:t>
      </w:r>
      <w:r>
        <w:rPr>
          <w:rFonts w:ascii="Arial" w:hAnsi="Arial"/>
          <w:sz w:val="28"/>
          <w:u w:val="single"/>
        </w:rPr>
        <w:t xml:space="preserve"> (</w:t>
      </w:r>
      <w:r>
        <w:rPr>
          <w:rFonts w:ascii="Arial" w:hAnsi="Arial"/>
          <w:i/>
          <w:sz w:val="28"/>
          <w:u w:val="single"/>
        </w:rPr>
        <w:t>date</w:t>
      </w:r>
      <w:r>
        <w:rPr>
          <w:rFonts w:ascii="Arial" w:hAnsi="Arial"/>
          <w:sz w:val="28"/>
          <w:u w:val="single"/>
        </w:rPr>
        <w:t xml:space="preserve">) </w:t>
      </w:r>
      <w:r>
        <w:rPr>
          <w:rFonts w:ascii="Arial" w:hAnsi="Arial"/>
          <w:sz w:val="28"/>
        </w:rPr>
        <w:t xml:space="preserve"> , in the County of </w:t>
      </w:r>
      <w:r>
        <w:rPr>
          <w:rFonts w:ascii="Arial" w:hAnsi="Arial"/>
          <w:sz w:val="28"/>
          <w:u w:val="single"/>
        </w:rPr>
        <w:t xml:space="preserve"> (County) </w:t>
      </w:r>
      <w:r>
        <w:rPr>
          <w:rFonts w:ascii="Arial" w:hAnsi="Arial"/>
          <w:sz w:val="28"/>
        </w:rPr>
        <w:t xml:space="preserve"> , the defendant, </w:t>
      </w:r>
      <w:r>
        <w:rPr>
          <w:rFonts w:ascii="Arial" w:hAnsi="Arial"/>
          <w:sz w:val="28"/>
          <w:u w:val="single"/>
        </w:rPr>
        <w:t>(</w:t>
      </w:r>
      <w:r>
        <w:rPr>
          <w:rFonts w:ascii="Arial" w:hAnsi="Arial"/>
          <w:i/>
          <w:sz w:val="28"/>
          <w:u w:val="single"/>
        </w:rPr>
        <w:t>defendant's name</w:t>
      </w:r>
      <w:r>
        <w:rPr>
          <w:rFonts w:ascii="Arial" w:hAnsi="Arial"/>
          <w:sz w:val="28"/>
          <w:u w:val="single"/>
        </w:rPr>
        <w:t>)</w:t>
      </w:r>
      <w:r>
        <w:rPr>
          <w:rFonts w:ascii="Arial" w:hAnsi="Arial"/>
          <w:sz w:val="28"/>
        </w:rPr>
        <w:t xml:space="preserve"> engaged in a scheme constituting a systematic, ongoing course of conduct to make, sell, deliver for sale or offer for sale one or more prescriptions;</w:t>
      </w:r>
    </w:p>
    <w:p w:rsidR="0067209F" w:rsidRDefault="0067209F">
      <w:pPr>
        <w:numPr>
          <w:ilvl w:val="0"/>
          <w:numId w:val="1"/>
        </w:numPr>
        <w:kinsoku w:val="0"/>
        <w:overflowPunct w:val="0"/>
        <w:autoSpaceDE/>
        <w:autoSpaceDN/>
        <w:adjustRightInd/>
        <w:spacing w:before="158" w:line="351" w:lineRule="exact"/>
        <w:jc w:val="both"/>
        <w:textAlignment w:val="baseline"/>
        <w:rPr>
          <w:rFonts w:ascii="Arial" w:hAnsi="Arial"/>
          <w:sz w:val="28"/>
        </w:rPr>
      </w:pPr>
      <w:r>
        <w:rPr>
          <w:rFonts w:ascii="Arial" w:hAnsi="Arial"/>
          <w:sz w:val="28"/>
        </w:rPr>
        <w:t>That the defendant did so with intent to defraud the state; and</w:t>
      </w:r>
    </w:p>
    <w:p w:rsidR="0067209F" w:rsidRDefault="0067209F">
      <w:pPr>
        <w:numPr>
          <w:ilvl w:val="0"/>
          <w:numId w:val="2"/>
        </w:numPr>
        <w:kinsoku w:val="0"/>
        <w:overflowPunct w:val="0"/>
        <w:autoSpaceDE/>
        <w:autoSpaceDN/>
        <w:adjustRightInd/>
        <w:spacing w:before="192" w:line="318" w:lineRule="exact"/>
        <w:jc w:val="both"/>
        <w:textAlignment w:val="baseline"/>
        <w:rPr>
          <w:rFonts w:ascii="Arial" w:hAnsi="Arial"/>
          <w:i/>
          <w:spacing w:val="1"/>
          <w:sz w:val="28"/>
          <w:u w:val="single"/>
        </w:rPr>
      </w:pPr>
      <w:r>
        <w:rPr>
          <w:rFonts w:ascii="Arial" w:hAnsi="Arial"/>
          <w:i/>
          <w:spacing w:val="1"/>
          <w:sz w:val="28"/>
          <w:u w:val="single"/>
        </w:rPr>
        <w:t xml:space="preserve">Select appropriate alternative: </w:t>
      </w:r>
    </w:p>
    <w:p w:rsidR="0067209F" w:rsidRDefault="0067209F">
      <w:pPr>
        <w:kinsoku w:val="0"/>
        <w:overflowPunct w:val="0"/>
        <w:autoSpaceDE/>
        <w:autoSpaceDN/>
        <w:adjustRightInd/>
        <w:spacing w:before="159" w:line="348" w:lineRule="exact"/>
        <w:ind w:left="1440"/>
        <w:jc w:val="both"/>
        <w:textAlignment w:val="baseline"/>
        <w:rPr>
          <w:rFonts w:ascii="Arial" w:hAnsi="Arial"/>
          <w:sz w:val="28"/>
        </w:rPr>
      </w:pPr>
      <w:r>
        <w:rPr>
          <w:rFonts w:ascii="Arial" w:hAnsi="Arial"/>
          <w:sz w:val="28"/>
        </w:rPr>
        <w:t>That the defendant thereby obtained goods or services from the state with a value in excess of one thousand dollars ($1000).</w:t>
      </w:r>
    </w:p>
    <w:p w:rsidR="0067209F" w:rsidRDefault="0067209F">
      <w:pPr>
        <w:kinsoku w:val="0"/>
        <w:overflowPunct w:val="0"/>
        <w:autoSpaceDE/>
        <w:autoSpaceDN/>
        <w:adjustRightInd/>
        <w:spacing w:before="160" w:line="350" w:lineRule="exact"/>
        <w:ind w:left="1440"/>
        <w:jc w:val="both"/>
        <w:textAlignment w:val="baseline"/>
        <w:rPr>
          <w:rFonts w:ascii="Arial" w:hAnsi="Arial"/>
          <w:spacing w:val="-1"/>
          <w:sz w:val="28"/>
        </w:rPr>
      </w:pPr>
      <w:r>
        <w:rPr>
          <w:rFonts w:ascii="Arial" w:hAnsi="Arial"/>
          <w:spacing w:val="-1"/>
          <w:sz w:val="28"/>
        </w:rPr>
        <w:t>That the defendant thereby caused the state to reimburse another in excess of one thousand dollars ($1000) for the delivery of such goods or services.</w:t>
      </w:r>
    </w:p>
    <w:p w:rsidR="0067209F" w:rsidRDefault="0067209F">
      <w:pPr>
        <w:kinsoku w:val="0"/>
        <w:overflowPunct w:val="0"/>
        <w:autoSpaceDE/>
        <w:autoSpaceDN/>
        <w:adjustRightInd/>
        <w:spacing w:before="155" w:line="350"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rsidR="0067209F" w:rsidRDefault="0067209F">
      <w:pPr>
        <w:kinsoku w:val="0"/>
        <w:overflowPunct w:val="0"/>
        <w:autoSpaceDE/>
        <w:autoSpaceDN/>
        <w:adjustRightInd/>
        <w:spacing w:before="159" w:line="350"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67209F" w:rsidSect="0067209F">
      <w:pgSz w:w="12240" w:h="15840"/>
      <w:pgMar w:top="1000" w:right="2140" w:bottom="600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309A"/>
    <w:multiLevelType w:val="singleLevel"/>
    <w:tmpl w:val="72F97CC4"/>
    <w:lvl w:ilvl="0">
      <w:start w:val="1"/>
      <w:numFmt w:val="decimal"/>
      <w:lvlText w:val="%1."/>
      <w:lvlJc w:val="left"/>
      <w:pPr>
        <w:tabs>
          <w:tab w:val="num" w:pos="1440"/>
        </w:tabs>
        <w:ind w:left="1440" w:hanging="720"/>
      </w:pPr>
      <w:rPr>
        <w:rFonts w:ascii="Arial" w:hAnsi="Arial"/>
        <w:snapToGrid/>
        <w:sz w:val="28"/>
      </w:rPr>
    </w:lvl>
  </w:abstractNum>
  <w:num w:numId="1">
    <w:abstractNumId w:val="0"/>
  </w:num>
  <w:num w:numId="2">
    <w:abstractNumId w:val="0"/>
    <w:lvlOverride w:ilvl="0">
      <w:lvl w:ilvl="0">
        <w:numFmt w:val="decimal"/>
        <w:lvlText w:val="%1."/>
        <w:lvlJc w:val="left"/>
        <w:pPr>
          <w:tabs>
            <w:tab w:val="num" w:pos="1440"/>
          </w:tabs>
          <w:ind w:left="1440" w:hanging="720"/>
        </w:pPr>
        <w:rPr>
          <w:rFonts w:ascii="Arial" w:hAnsi="Arial"/>
          <w:i/>
          <w:snapToGrid/>
          <w:spacing w:val="1"/>
          <w:sz w:val="28"/>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9F"/>
    <w:rsid w:val="0067209F"/>
    <w:rsid w:val="00F2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4C531-2867-40AD-AA18-33C8539F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2019-05-30T04:10:00Z</dcterms:created>
  <dcterms:modified xsi:type="dcterms:W3CDTF">2019-05-30T04:10:00Z</dcterms:modified>
</cp:coreProperties>
</file>