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POSSESSION OF FORGERY DEVICES</w:t>
        <w:br/>
      </w:r>
      <w:r>
        <w:rPr>
          <w:rFonts w:ascii="Arial" w:hAnsi="Arial" w:eastAsia="Arial"/>
          <w:b w:val="true"/>
          <w:color w:val="000000"/>
          <w:spacing w:val="0"/>
          <w:w w:val="100"/>
          <w:sz w:val="28"/>
          <w:vertAlign w:val="baseline"/>
          <w:lang w:val="en-US"/>
        </w:rPr>
        <w:t xml:space="preserve">(Make or Possess Forgery Device With Intent to Use)</w:t>
        <w:br/>
      </w:r>
      <w:r>
        <w:rPr>
          <w:rFonts w:ascii="Arial" w:hAnsi="Arial" w:eastAsia="Arial"/>
          <w:b w:val="true"/>
          <w:color w:val="000000"/>
          <w:spacing w:val="0"/>
          <w:w w:val="100"/>
          <w:sz w:val="28"/>
          <w:vertAlign w:val="baseline"/>
          <w:lang w:val="en-US"/>
        </w:rPr>
        <w:t xml:space="preserve">Penal Law § 170.40(2)</w:t>
        <w:br/>
      </w:r>
      <w:r>
        <w:rPr>
          <w:rFonts w:ascii="Arial" w:hAnsi="Arial" w:eastAsia="Arial"/>
          <w:b w:val="true"/>
          <w:color w:val="000000"/>
          <w:spacing w:val="0"/>
          <w:w w:val="100"/>
          <w:sz w:val="28"/>
          <w:vertAlign w:val="baseline"/>
          <w:lang w:val="en-US"/>
        </w:rPr>
        <w:t xml:space="preserve">(Committed on or After September 1, 1967)</w:t>
      </w:r>
    </w:p>
    <w:p>
      <w:pPr>
        <w:pageBreakBefore w:val="false"/>
        <w:spacing w:before="641"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Possession of Forgery Devices.</w:t>
      </w:r>
    </w:p>
    <w:p>
      <w:pPr>
        <w:pageBreakBefore w:val="false"/>
        <w:spacing w:before="324"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person is guilty of Criminal Possession of Forgery Devices when, with intent to use or to aid or permit another to use the same for purposes of forgery, he or she makes or possesses any device, apparatus, equipment or article capable of or adaptable to such use.</w:t>
      </w:r>
    </w:p>
    <w:p>
      <w:pPr>
        <w:pageBreakBefore w:val="false"/>
        <w:spacing w:before="32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Thus, a person intends to use, or to aid or permit another to use, a device, apparatus, equipment or article for purposes of forgery when that person's conscious objective or purpose is to do so.</w:t>
      </w:r>
    </w:p>
    <w:p>
      <w:pPr>
        <w:pageBreakBefore w:val="false"/>
        <w:spacing w:before="32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FORGERY occurs when a person falsely makes, completes or alters a written instrument.</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5" w:after="0"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color w:val="000000"/>
          <w:spacing w:val="-4"/>
          <w:w w:val="100"/>
          <w:sz w:val="28"/>
          <w:vertAlign w:val="superscript"/>
          <w:lang w:val="en-US"/>
        </w:rPr>
        <w:t xml:space="preserve">3</w:t>
      </w:r>
      <w:r>
        <w:rPr>
          <w:rFonts w:ascii="Arial" w:hAnsi="Arial" w:eastAsia="Arial"/>
          <w:color w:val="000000"/>
          <w:spacing w:val="-4"/>
          <w:w w:val="100"/>
          <w:sz w:val="17"/>
          <w:vertAlign w:val="baseline"/>
          <w:lang w:val="en-US"/>
        </w:rPr>
        <w:t xml:space="preserve">
</w:t>
      </w:r>
    </w:p>
    <w:p>
      <w:pPr>
        <w:pageBreakBefore w:val="false"/>
        <w:spacing w:before="327" w:after="283"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the following two elements:</w:t>
      </w:r>
    </w:p>
    <w:p>
      <w:pPr>
        <w:pageBreakBefore w:val="false"/>
        <w:spacing w:before="250" w:after="0" w:line="276" w:lineRule="exact"/>
        <w:ind w:right="0" w:left="720" w:firstLine="0"/>
        <w:jc w:val="left"/>
        <w:textAlignment w:val="baseline"/>
        <w:rPr>
          <w:rFonts w:ascii="Arial" w:hAnsi="Arial" w:eastAsia="Arial"/>
          <w:color w:val="000000"/>
          <w:spacing w:val="0"/>
          <w:w w:val="100"/>
          <w:sz w:val="16"/>
          <w:vertAlign w:val="superscript"/>
          <w:lang w:val="en-US"/>
        </w:rPr>
      </w:pPr>
      <w:r>
        <w:pict>
          <v:line strokeweight="0.95pt" strokecolor="#000000" from="107.75pt,589.2pt" to="252.05pt,589.2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§15.05(1).</w:t>
      </w:r>
    </w:p>
    <w:p>
      <w:pPr>
        <w:pageBreakBefore w:val="false"/>
        <w:spacing w:before="264" w:after="0" w:line="257" w:lineRule="exact"/>
        <w:ind w:right="0" w:left="0" w:firstLine="720"/>
        <w:jc w:val="both"/>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2 </w:t>
      </w:r>
      <w:r>
        <w:rPr>
          <w:rFonts w:ascii="Arial" w:hAnsi="Arial" w:eastAsia="Arial"/>
          <w:color w:val="000000"/>
          <w:spacing w:val="0"/>
          <w:w w:val="100"/>
          <w:sz w:val="22"/>
          <w:vertAlign w:val="baseline"/>
          <w:lang w:val="en-US"/>
        </w:rPr>
        <w:t xml:space="preserve">Penal Law § 170.00(2). If necessary, definitions of “written instrument,” “falsely made,” “falsely completed” or “falsely altered” are also set forth in Penal Law § 170.00.</w:t>
      </w:r>
    </w:p>
    <w:p>
      <w:pPr>
        <w:pageBreakBefore w:val="false"/>
        <w:spacing w:before="243" w:after="0" w:line="276"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3</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§10.00(8). If necessary, an expanded definition of "possession" is available in the section on Instructions of General Applicability under Possession.</w:t>
      </w:r>
    </w:p>
    <w:p>
      <w:pPr>
        <w:sectPr>
          <w:type w:val="nextPage"/>
          <w:pgSz w:w="12240" w:h="15840" w:orient="portrait"/>
          <w:pgMar w:bottom="1024" w:top="1080" w:right="2125" w:left="2155" w:header="720" w:footer="720"/>
          <w:titlePg w:val="false"/>
          <w:textDirection w:val="lrTb"/>
        </w:sectPr>
      </w:pPr>
    </w:p>
    <w:p>
      <w:pPr>
        <w:pageBreakBefore w:val="false"/>
        <w:numPr>
          <w:ilvl w:val="0"/>
          <w:numId w:val="1"/>
        </w:numPr>
        <w:tabs>
          <w:tab w:val="clear" w:pos="648"/>
          <w:tab w:val="left" w:pos="1440"/>
        </w:tabs>
        <w:spacing w:before="0" w:after="0" w:line="324" w:lineRule="exact"/>
        <w:ind w:right="0" w:left="1440" w:hanging="648"/>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That on or about </w:t>
      </w:r>
      <w:r>
        <w:rPr>
          <w:rFonts w:ascii="Arial" w:hAnsi="Arial" w:eastAsia="Arial"/>
          <w:i w:val="true"/>
          <w:color w:val="000000"/>
          <w:spacing w:val="-3"/>
          <w:w w:val="100"/>
          <w:sz w:val="28"/>
          <w:u w:val="single"/>
          <w:vertAlign w:val="baseline"/>
          <w:lang w:val="en-US"/>
        </w:rPr>
        <w:t xml:space="preserve">(date)</w:t>
      </w:r>
      <w:r>
        <w:rPr>
          <w:rFonts w:ascii="Arial" w:hAnsi="Arial" w:eastAsia="Arial"/>
          <w:color w:val="000000"/>
          <w:spacing w:val="-3"/>
          <w:w w:val="100"/>
          <w:sz w:val="28"/>
          <w:vertAlign w:val="baseline"/>
          <w:lang w:val="en-US"/>
        </w:rPr>
        <w:t xml:space="preserve">, in the County of </w:t>
      </w:r>
      <w:r>
        <w:rPr>
          <w:rFonts w:ascii="Arial" w:hAnsi="Arial" w:eastAsia="Arial"/>
          <w:i w:val="true"/>
          <w:color w:val="000000"/>
          <w:spacing w:val="-3"/>
          <w:w w:val="100"/>
          <w:sz w:val="28"/>
          <w:u w:val="single"/>
          <w:vertAlign w:val="baseline"/>
          <w:lang w:val="en-US"/>
        </w:rPr>
        <w:t xml:space="preserve">(County)</w:t>
      </w:r>
      <w:r>
        <w:rPr>
          <w:rFonts w:ascii="Arial" w:hAnsi="Arial" w:eastAsia="Arial"/>
          <w:color w:val="000000"/>
          <w:spacing w:val="-3"/>
          <w:w w:val="100"/>
          <w:sz w:val="28"/>
          <w:vertAlign w:val="baseline"/>
          <w:lang w:val="en-US"/>
        </w:rPr>
        <w:t xml:space="preserve">, the defendant, </w:t>
      </w:r>
      <w:r>
        <w:rPr>
          <w:rFonts w:ascii="Arial" w:hAnsi="Arial" w:eastAsia="Arial"/>
          <w:i w:val="true"/>
          <w:color w:val="000000"/>
          <w:spacing w:val="-3"/>
          <w:w w:val="100"/>
          <w:sz w:val="28"/>
          <w:u w:val="single"/>
          <w:vertAlign w:val="baseline"/>
          <w:lang w:val="en-US"/>
        </w:rPr>
        <w:t xml:space="preserve">(defendant's name)</w:t>
      </w:r>
      <w:r>
        <w:rPr>
          <w:rFonts w:ascii="Arial" w:hAnsi="Arial" w:eastAsia="Arial"/>
          <w:color w:val="000000"/>
          <w:spacing w:val="-3"/>
          <w:w w:val="100"/>
          <w:sz w:val="28"/>
          <w:vertAlign w:val="baseline"/>
          <w:lang w:val="en-US"/>
        </w:rPr>
        <w:t xml:space="preserve">, made or possessed a device, apparatus, equipment , or article capable of forgery, or adaptable to such use; and</w:t>
      </w:r>
    </w:p>
    <w:p>
      <w:pPr>
        <w:pageBreakBefore w:val="false"/>
        <w:numPr>
          <w:ilvl w:val="0"/>
          <w:numId w:val="1"/>
        </w:numPr>
        <w:tabs>
          <w:tab w:val="clear" w:pos="648"/>
          <w:tab w:val="left" w:pos="1440"/>
        </w:tabs>
        <w:spacing w:before="324" w:after="0" w:line="324"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intent to use or to aid or permit another to use the same for purposes of forgery.</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786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7860" w:line="324" w:lineRule="exact"/>
        <w:sectPr>
          <w:type w:val="nextPage"/>
          <w:pgSz w:w="12240" w:h="15840" w:orient="portrait"/>
          <w:pgMar w:bottom="1024" w:top="1080" w:right="2128" w:left="2152"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sectPr>
      <w:type w:val="continuous"/>
      <w:pgSz w:w="12240" w:h="15840" w:orient="portrait"/>
      <w:pgMar w:bottom="1024" w:top="1080" w:right="2142" w:left="213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color w:val="000000"/>
        <w:spacing w:val="-3"/>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