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TRESPASS</w:t>
        <w:br/>
      </w:r>
      <w:r>
        <w:rPr>
          <w:rFonts w:ascii="Arial" w:hAnsi="Arial" w:eastAsia="Arial"/>
          <w:b w:val="true"/>
          <w:color w:val="000000"/>
          <w:spacing w:val="0"/>
          <w:w w:val="100"/>
          <w:sz w:val="28"/>
          <w:vertAlign w:val="baseline"/>
          <w:lang w:val="en-US"/>
        </w:rPr>
        <w:t xml:space="preserve">(Access to Computer Material)</w:t>
        <w:br/>
      </w:r>
      <w:r>
        <w:rPr>
          <w:rFonts w:ascii="Arial" w:hAnsi="Arial" w:eastAsia="Arial"/>
          <w:b w:val="true"/>
          <w:color w:val="000000"/>
          <w:spacing w:val="0"/>
          <w:w w:val="100"/>
          <w:sz w:val="28"/>
          <w:vertAlign w:val="baseline"/>
          <w:lang w:val="en-US"/>
        </w:rPr>
        <w:t xml:space="preserve">Penal Law § 156.10(2)</w:t>
        <w:br/>
      </w:r>
      <w:r>
        <w:rPr>
          <w:rFonts w:ascii="Arial" w:hAnsi="Arial" w:eastAsia="Arial"/>
          <w:b w:val="true"/>
          <w:color w:val="000000"/>
          <w:spacing w:val="0"/>
          <w:w w:val="100"/>
          <w:sz w:val="28"/>
          <w:vertAlign w:val="baseline"/>
          <w:lang w:val="en-US"/>
        </w:rPr>
        <w:t xml:space="preserve">(Committed on or after Nov. 1, 2006)</w:t>
      </w:r>
    </w:p>
    <w:p>
      <w:pPr>
        <w:pageBreakBefore w:val="false"/>
        <w:spacing w:before="323"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Computer Trespass.</w:t>
      </w:r>
    </w:p>
    <w:p>
      <w:pPr>
        <w:pageBreakBefore w:val="false"/>
        <w:spacing w:before="31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computer trespass when that person knowingly uses, causes to be used, or accesses a computer, computer service, or computer network without authorization and he or she thereby knowingly gains access to computer material.</w:t>
      </w:r>
    </w:p>
    <w:p>
      <w:pPr>
        <w:pageBreakBefore w:val="false"/>
        <w:spacing w:before="324"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1" w:after="0" w:line="325"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It is a defense that the defendant had reasonable grounds</w:t>
      </w:r>
    </w:p>
    <w:p>
      <w:pPr>
        <w:pageBreakBefore w:val="false"/>
        <w:spacing w:before="0" w:after="0" w:line="318"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to believe that he or she had authorization to use the computer.]</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2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1"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such computer to store, retrieve or communicate to or from a person, another computer or another device the results of computer operations, computer programs or computer data.</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321" w:after="86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SERVICE means any and all services provided by or through the facilities of any computer communication system allowing the input, output, examination, or transfer, of computer data or computer programs from one</w:t>
      </w:r>
    </w:p>
    <w:p>
      <w:pPr>
        <w:pageBreakBefore w:val="false"/>
        <w:spacing w:before="9" w:after="0" w:line="518"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Penal Law §156.50(1).</w:t>
        <w:br/>
      </w: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Penal Law §156.00(1).</w:t>
      </w:r>
    </w:p>
    <w:p>
      <w:pPr>
        <w:sectPr>
          <w:type w:val="nextPage"/>
          <w:pgSz w:w="12240" w:h="15840" w:orient="portrait"/>
          <w:pgMar w:bottom="1004" w:top="1440" w:right="2140" w:left="2160" w:header="720" w:footer="720"/>
          <w:titlePg w:val="false"/>
          <w:textDirection w:val="lrTb"/>
        </w:sectPr>
      </w:pPr>
    </w:p>
    <w:p>
      <w:pPr>
        <w:pageBreakBefore w:val="false"/>
        <w:spacing w:before="34" w:after="0" w:line="323"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computer to another.</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means the interconnection of hardwire or wireless communication lines with a computer through remote terminals, or a complex consisting of two or more interconnected computers.</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means to instruct, communicate with, store data in, retrieve from, or otherwise make use of any resources of a computer, physically, directly or by electronic means.</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WITHOUT AUTHORIZATION means to use or to access a computer, computer service or computer network without the permission of the owner or lessor or someone licensed or privileged by the owner or lessor where the actor</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28"/>
          <w:vertAlign w:val="baseline"/>
          <w:lang w:val="en-US"/>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17"/>
          <w:vertAlign w:val="baseline"/>
          <w:lang w:val="en-US"/>
        </w:rPr>
        <w:t xml:space="preserve">
</w:t>
      </w:r>
    </w:p>
    <w:p>
      <w:pPr>
        <w:pageBreakBefore w:val="false"/>
        <w:spacing w:before="336" w:after="0" w:line="323"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24" w:after="486" w:line="323"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proof that a person used or accessed a computer, computer service or computer network through the knowing use of a set of instructions, code or computer program that</w:t>
      </w:r>
    </w:p>
    <w:p>
      <w:pPr>
        <w:pageBreakBefore w:val="false"/>
        <w:spacing w:before="252"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8pt,551.05pt" to="252.05pt,551.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Penal Law §156.00(4).</w:t>
      </w:r>
    </w:p>
    <w:p>
      <w:pPr>
        <w:pageBreakBefore w:val="false"/>
        <w:spacing w:before="242"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§156.00(6).</w:t>
      </w:r>
    </w:p>
    <w:p>
      <w:pPr>
        <w:pageBreakBefore w:val="false"/>
        <w:spacing w:before="244"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§156.00(7).</w:t>
      </w:r>
    </w:p>
    <w:p>
      <w:pPr>
        <w:pageBreakBefore w:val="false"/>
        <w:spacing w:before="237" w:after="0" w:line="280" w:lineRule="exact"/>
        <w:ind w:right="504"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words “the actor” have been substituted for the statutory language “such person” for clarity.</w:t>
      </w:r>
    </w:p>
    <w:p>
      <w:pPr>
        <w:pageBreakBefore w:val="false"/>
        <w:spacing w:before="233" w:after="0" w:line="275"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7</w:t>
      </w:r>
      <w:r>
        <w:rPr>
          <w:rFonts w:ascii="Arial" w:hAnsi="Arial" w:eastAsia="Arial"/>
          <w:color w:val="000000"/>
          <w:spacing w:val="2"/>
          <w:w w:val="100"/>
          <w:sz w:val="24"/>
          <w:vertAlign w:val="baseline"/>
          <w:lang w:val="en-US"/>
        </w:rPr>
        <w:t xml:space="preserve"> Penal Law § 156.00(8).</w:t>
      </w:r>
    </w:p>
    <w:p>
      <w:pPr>
        <w:pageBreakBefore w:val="false"/>
        <w:spacing w:before="253"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400" w:right="2140" w:left="2160" w:header="720" w:footer="720"/>
          <w:titlePg w:val="false"/>
          <w:textDirection w:val="lrTb"/>
        </w:sectPr>
      </w:pPr>
    </w:p>
    <w:p>
      <w:pPr>
        <w:pageBreakBefore w:val="false"/>
        <w:spacing w:before="0"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bypasses, defrauds or otherwise circumvents a security measure installed or used with the user’s authorization on the computer, computer service or computer network shall be presumptive evidence that such person used or accessed such computer, computer service or computer network without authorization.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18" w:after="0" w:line="325"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What this means is that if the People have proven beyond a reasonable doubt that the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 computer network, then you may, but you are not required to, infer from those facts that such person used or accessed such computer, computer service or computer network without authorization.]</w:t>
      </w:r>
    </w:p>
    <w:p>
      <w:pPr>
        <w:pageBreakBefore w:val="false"/>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MATERIAL is property and means any computer data or computer program which:</w:t>
      </w:r>
    </w:p>
    <w:p>
      <w:pPr>
        <w:pageBreakBefore w:val="false"/>
        <w:spacing w:before="326" w:after="0" w:line="319"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19"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contains records of the medical history or medical treatment of an identified or readily identifiable individual or individuals.</w:t>
      </w:r>
    </w:p>
    <w:p>
      <w:pPr>
        <w:pageBreakBefore w:val="false"/>
        <w:spacing w:before="319" w:after="553"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 Computer material does not include gaining access to or duplication solely of the medical history or medical treatment records of a person by that person or by another specifically authorized by the person whose records are gained access to or duplicated]; or</w:t>
      </w:r>
    </w:p>
    <w:p>
      <w:pPr>
        <w:pageBreakBefore w:val="false"/>
        <w:spacing w:before="258" w:after="247" w:line="276" w:lineRule="exact"/>
        <w:ind w:right="0" w:left="720" w:firstLine="0"/>
        <w:jc w:val="left"/>
        <w:textAlignment w:val="baseline"/>
        <w:rPr>
          <w:rFonts w:ascii="Arial" w:hAnsi="Arial" w:eastAsia="Arial"/>
          <w:color w:val="000000"/>
          <w:spacing w:val="2"/>
          <w:w w:val="100"/>
          <w:sz w:val="14"/>
          <w:vertAlign w:val="superscript"/>
          <w:lang w:val="en-US"/>
        </w:rPr>
      </w:pPr>
      <w:r>
        <w:pict>
          <v:line strokeweight="1.2pt" strokecolor="#000000" from="108pt,667.9pt" to="252.05pt,667.9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8</w:t>
      </w:r>
      <w:r>
        <w:rPr>
          <w:rFonts w:ascii="Arial" w:hAnsi="Arial" w:eastAsia="Arial"/>
          <w:color w:val="000000"/>
          <w:spacing w:val="2"/>
          <w:w w:val="100"/>
          <w:sz w:val="24"/>
          <w:vertAlign w:val="baseline"/>
          <w:lang w:val="en-US"/>
        </w:rPr>
        <w:t xml:space="preserve"> Penal Law §156.00(8).</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tabs>
          <w:tab w:val="right" w:leader="none" w:pos="7920"/>
        </w:tabs>
        <w:spacing w:before="1"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	</w:t>
      </w:r>
      <w:r>
        <w:rPr>
          <w:rFonts w:ascii="Arial" w:hAnsi="Arial" w:eastAsia="Arial"/>
          <w:color w:val="000000"/>
          <w:spacing w:val="0"/>
          <w:w w:val="100"/>
          <w:sz w:val="28"/>
          <w:vertAlign w:val="baseline"/>
          <w:lang w:val="en-US"/>
        </w:rPr>
        <w:t xml:space="preserve">contains records maintained by the state or any</w:t>
      </w:r>
    </w:p>
    <w:p>
      <w:pPr>
        <w:pageBreakBefore w:val="false"/>
        <w:spacing w:before="0" w:after="0" w:line="324"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political subdivision thereof or any governmental instrumentality within the state which contains any information concerning a person </w:t>
      </w:r>
      <w:r>
        <w:rPr>
          <w:rFonts w:ascii="Arial" w:hAnsi="Arial" w:eastAsia="Arial"/>
          <w:color w:val="000000"/>
          <w:spacing w:val="-2"/>
          <w:w w:val="100"/>
          <w:sz w:val="28"/>
          <w:vertAlign w:val="superscript"/>
          <w:lang w:val="en-US"/>
        </w:rPr>
        <w:t xml:space="preserve">9</w:t>
      </w:r>
      <w:r>
        <w:rPr>
          <w:rFonts w:ascii="Arial" w:hAnsi="Arial" w:eastAsia="Arial"/>
          <w:color w:val="000000"/>
          <w:spacing w:val="-2"/>
          <w:w w:val="100"/>
          <w:sz w:val="28"/>
          <w:vertAlign w:val="baseline"/>
          <w:lang w:val="en-US"/>
        </w:rPr>
        <w:t xml:space="preserve"> which because of name, number, symbol, mark or other identifier, can be used to identify the person and which is otherwise prohibited by law from being disclosed.</w:t>
      </w:r>
    </w:p>
    <w:p>
      <w:pPr>
        <w:pageBreakBefore w:val="false"/>
        <w:spacing w:before="319"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 Computer material does not include gaining access to or duplication solely of records of a person by that person or by another specifically authorized by that person whose records are gained access to or duplicated]; or</w:t>
      </w:r>
    </w:p>
    <w:p>
      <w:pPr>
        <w:pageBreakBefore w:val="false"/>
        <w:spacing w:before="289" w:after="0"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 c) is not and is not intended to be available to anyone other than the person or persons rightfully in possession thereof or selected persons having access thereto with his, her or their consent and which accords or may accord such rightful possessors an advantage over competitors or other persons who do not have knowledge or the benefit thereof.</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46" w:after="1852"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KNOWINGLY uses, causes to be used, or accesses a computer, computer service, or computer network without authorization when that person is aware that he or she is using, causing to be used, or accessing such computer, computer</w:t>
      </w:r>
    </w:p>
    <w:p>
      <w:pPr>
        <w:pageBreakBefore w:val="false"/>
        <w:spacing w:before="252" w:after="0" w:line="277" w:lineRule="exact"/>
        <w:ind w:right="144" w:left="0" w:firstLine="720"/>
        <w:jc w:val="left"/>
        <w:textAlignment w:val="baseline"/>
        <w:rPr>
          <w:rFonts w:ascii="Arial" w:hAnsi="Arial" w:eastAsia="Arial"/>
          <w:color w:val="000000"/>
          <w:spacing w:val="0"/>
          <w:w w:val="100"/>
          <w:sz w:val="14"/>
          <w:vertAlign w:val="superscript"/>
          <w:lang w:val="en-US"/>
        </w:rPr>
      </w:pPr>
      <w:r>
        <w:pict>
          <v:line strokeweight="0.95pt" strokecolor="#000000" from="108pt,587.05pt" to="252.05pt,587.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Here the statute references “person” as defined in Penal Law § 10.00(7). If in issue, that definition is: “Person” means a human being, and where appropriate, a public or private corporation, an unincorporated association, a partnership, a government or a governmental instrumentality.</w:t>
      </w:r>
    </w:p>
    <w:p>
      <w:pPr>
        <w:pageBreakBefore w:val="false"/>
        <w:spacing w:before="233" w:after="249" w:line="277"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10</w:t>
      </w:r>
      <w:r>
        <w:rPr>
          <w:rFonts w:ascii="Arial" w:hAnsi="Arial" w:eastAsia="Arial"/>
          <w:color w:val="000000"/>
          <w:spacing w:val="2"/>
          <w:w w:val="100"/>
          <w:sz w:val="24"/>
          <w:vertAlign w:val="baseline"/>
          <w:lang w:val="en-US"/>
        </w:rPr>
        <w:t xml:space="preserve"> Penal Law § 156.00(5).</w:t>
      </w: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p>
      <w:pPr>
        <w:sectPr>
          <w:type w:val="nextPage"/>
          <w:pgSz w:w="12240" w:h="15840" w:orient="portrait"/>
          <w:pgMar w:bottom="1024" w:top="1440" w:right="2140" w:left="2160" w:header="720" w:footer="720"/>
          <w:titlePg w:val="false"/>
          <w:textDirection w:val="lrTb"/>
        </w:sectPr>
      </w:pPr>
    </w:p>
    <w:p>
      <w:pPr>
        <w:pageBreakBefore w:val="false"/>
        <w:spacing w:before="30" w:after="0" w:line="329"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service, or computer network without authorization.</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28"/>
          <w:vertAlign w:val="baseline"/>
          <w:lang w:val="en-US"/>
        </w:rPr>
        <w:t xml:space="preserve"> A person KNOWINGLY gains access to computer material when that person is aware that he or she is doing so.</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[both/each] of the following [two/three]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That on or about </w:t>
      </w:r>
      <w:r>
        <w:rPr>
          <w:rFonts w:ascii="Arial" w:hAnsi="Arial" w:eastAsia="Arial"/>
          <w:i w:val="true"/>
          <w:color w:val="000000"/>
          <w:spacing w:val="-4"/>
          <w:w w:val="100"/>
          <w:sz w:val="23"/>
          <w:u w:val="single"/>
          <w:vertAlign w:val="baseline"/>
          <w:lang w:val="en-US"/>
        </w:rPr>
        <w:t xml:space="preserve">(date)</w:t>
      </w:r>
      <w:r>
        <w:rPr>
          <w:rFonts w:ascii="Arial" w:hAnsi="Arial" w:eastAsia="Arial"/>
          <w:color w:val="000000"/>
          <w:spacing w:val="-4"/>
          <w:w w:val="100"/>
          <w:sz w:val="28"/>
          <w:vertAlign w:val="baseline"/>
          <w:lang w:val="en-US"/>
        </w:rPr>
        <w:t xml:space="preserve">, in the county of </w:t>
      </w:r>
      <w:r>
        <w:rPr>
          <w:rFonts w:ascii="Arial" w:hAnsi="Arial" w:eastAsia="Arial"/>
          <w:i w:val="true"/>
          <w:color w:val="000000"/>
          <w:spacing w:val="-4"/>
          <w:w w:val="100"/>
          <w:sz w:val="23"/>
          <w:u w:val="single"/>
          <w:vertAlign w:val="baseline"/>
          <w:lang w:val="en-US"/>
        </w:rPr>
        <w:t xml:space="preserve"> (county) </w:t>
      </w:r>
      <w:r>
        <w:rPr>
          <w:rFonts w:ascii="Arial" w:hAnsi="Arial" w:eastAsia="Arial"/>
          <w:color w:val="000000"/>
          <w:spacing w:val="-4"/>
          <w:w w:val="100"/>
          <w:sz w:val="28"/>
          <w:vertAlign w:val="baseline"/>
          <w:lang w:val="en-US"/>
        </w:rPr>
        <w:t xml:space="preserve"> , the defendant, </w:t>
      </w:r>
      <w:r>
        <w:rPr>
          <w:rFonts w:ascii="Arial" w:hAnsi="Arial" w:eastAsia="Arial"/>
          <w:i w:val="true"/>
          <w:color w:val="000000"/>
          <w:spacing w:val="-4"/>
          <w:w w:val="100"/>
          <w:sz w:val="23"/>
          <w:u w:val="single"/>
          <w:vertAlign w:val="baseline"/>
          <w:lang w:val="en-US"/>
        </w:rPr>
        <w:t xml:space="preserve"> (defendant's name) </w:t>
      </w:r>
      <w:r>
        <w:rPr>
          <w:rFonts w:ascii="Arial" w:hAnsi="Arial" w:eastAsia="Arial"/>
          <w:color w:val="000000"/>
          <w:spacing w:val="-4"/>
          <w:w w:val="100"/>
          <w:sz w:val="28"/>
          <w:vertAlign w:val="baseline"/>
          <w:lang w:val="en-US"/>
        </w:rPr>
        <w:t xml:space="preserve"> , knowingly used, caused to be used, or accessed a computer, computer service, or computer network without authorization; and</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knowingly gained access to computer material; [and]</w:t>
      </w:r>
    </w:p>
    <w:p>
      <w:pPr>
        <w:pageBreakBefore w:val="false"/>
        <w:spacing w:before="327" w:after="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Add if applicable:</w:t>
      </w:r>
    </w:p>
    <w:p>
      <w:pPr>
        <w:pageBreakBefore w:val="false"/>
        <w:tabs>
          <w:tab w:val="left" w:leader="none" w:pos="1440"/>
        </w:tabs>
        <w:spacing w:before="319" w:after="0" w:line="327" w:lineRule="exact"/>
        <w:ind w:right="0" w:left="1440" w:hanging="720"/>
        <w:jc w:val="both"/>
        <w:textAlignment w:val="baseline"/>
        <w:rPr>
          <w:rFonts w:ascii="Arial" w:hAnsi="Arial" w:eastAsia="Arial"/>
          <w:color w:val="000000"/>
          <w:spacing w:val="-14"/>
          <w:w w:val="100"/>
          <w:sz w:val="28"/>
          <w:vertAlign w:val="baseline"/>
          <w:lang w:val="en-US"/>
        </w:rPr>
      </w:pPr>
      <w:r>
        <w:rPr>
          <w:rFonts w:ascii="Arial" w:hAnsi="Arial" w:eastAsia="Arial"/>
          <w:color w:val="000000"/>
          <w:spacing w:val="-14"/>
          <w:w w:val="100"/>
          <w:sz w:val="28"/>
          <w:vertAlign w:val="baseline"/>
          <w:lang w:val="en-US"/>
        </w:rPr>
        <w:t xml:space="preserve">[3.	</w:t>
      </w:r>
      <w:r>
        <w:rPr>
          <w:rFonts w:ascii="Arial" w:hAnsi="Arial" w:eastAsia="Arial"/>
          <w:color w:val="000000"/>
          <w:spacing w:val="-14"/>
          <w:w w:val="100"/>
          <w:sz w:val="28"/>
          <w:vertAlign w:val="baseline"/>
          <w:lang w:val="en-US"/>
        </w:rPr>
        <w:t xml:space="preserve">That the defendant did not have reasonable grounds to believe that he/she had authorization to use the computer.]</w:t>
      </w:r>
    </w:p>
    <w:p>
      <w:pPr>
        <w:pageBreakBefore w:val="false"/>
        <w:spacing w:before="31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18" w:after="1624"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259" w:after="0" w:line="276" w:lineRule="exact"/>
        <w:ind w:right="360" w:left="0" w:firstLine="720"/>
        <w:jc w:val="left"/>
        <w:textAlignment w:val="baseline"/>
        <w:rPr>
          <w:rFonts w:ascii="Arial" w:hAnsi="Arial" w:eastAsia="Arial"/>
          <w:color w:val="000000"/>
          <w:spacing w:val="0"/>
          <w:w w:val="100"/>
          <w:sz w:val="14"/>
          <w:vertAlign w:val="superscript"/>
          <w:lang w:val="en-US"/>
        </w:rPr>
      </w:pPr>
      <w:r>
        <w:pict>
          <v:line strokeweight="0.95pt" strokecolor="#000000" from="107.4pt,640.3pt" to="252.05pt,640.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 See</w:t>
      </w:r>
      <w:r>
        <w:rPr>
          <w:rFonts w:ascii="Arial" w:hAnsi="Arial" w:eastAsia="Arial"/>
          <w:color w:val="000000"/>
          <w:spacing w:val="0"/>
          <w:w w:val="100"/>
          <w:sz w:val="24"/>
          <w:vertAlign w:val="baseline"/>
          <w:lang w:val="en-US"/>
        </w:rPr>
        <w:t xml:space="preserve">, Penal Law § 15.05(2). An expanded definition of “knowingly” is available in the General Charges section under Culpable Mental States.</w:t>
      </w:r>
    </w:p>
    <w:p>
      <w:pPr>
        <w:pageBreakBefore w:val="false"/>
        <w:spacing w:before="249"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5</w:t>
      </w:r>
    </w:p>
    <w:sectPr>
      <w:type w:val="nextPage"/>
      <w:pgSz w:w="12240" w:h="15840" w:orient="portrait"/>
      <w:pgMar w:bottom="1024" w:top="1400" w:right="2144"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