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ARSON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(Intentionally Damaging a Building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and Causing Serious Physical Injury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to Another Person)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150.20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1984 )</w:t>
      </w:r>
    </w:p>
    <w:p>
      <w:pPr>
        <w:pageBreakBefore w:val="false"/>
        <w:spacing w:before="649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Arson in the First Degree.</w:t>
      </w:r>
    </w:p>
    <w:p>
      <w:pPr>
        <w:pageBreakBefore w:val="false"/>
        <w:spacing w:before="327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Arson in the First Degree when that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fire, and when such explosion or fire causes serious physical injury to another person other than a participant, and when another person who is not a participant in the crime is present in such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at the time and the defendant knows that fact or the circumstances are such as to render the presence of such person therein a reasonable possibility.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0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addition to its ordinary meaning, the term BUILDING includes any structure, vehicle or watercraft used for overnight lodging of persons, or used by persons for carrying on business therein.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4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3" w:after="0" w:line="323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7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7"/>
          <w:w w:val="100"/>
          <w:sz w:val="28"/>
          <w:vertAlign w:val="baseline"/>
          <w:lang w:val="en-US"/>
        </w:rPr>
        <w:t xml:space="preserve">MOTOR VEHICLE includes every vehicle operated or driven</w:t>
      </w:r>
    </w:p>
    <w:p>
      <w:pPr>
        <w:pageBreakBefore w:val="false"/>
        <w:spacing w:before="0" w:after="1453" w:line="322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upon a public highway which is propelled by any power other than</w:t>
      </w:r>
    </w:p>
    <w:p>
      <w:pPr>
        <w:pageBreakBefore w:val="false"/>
        <w:spacing w:before="258" w:after="0" w:line="276" w:lineRule="exact"/>
        <w:ind w:right="0" w:left="0" w:firstLine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66.5pt" to="252.05pt,66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§150.00(1). That provision further states: “Where a building consists of two or more units separately secured or occupied, each unit shall not be deemed a separate building.”</w:t>
      </w:r>
    </w:p>
    <w:p>
      <w:pPr>
        <w:sectPr>
          <w:type w:val="nextPage"/>
          <w:pgSz w:w="12240" w:h="15840" w:orient="portrait"/>
          <w:pgMar w:bottom="102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34" w:after="0" w:line="32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muscular power.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when that person causes the slightest damage to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 Even proof of damage short of burning, such as charring, is sufficient to establish damage to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 when that person's conscious objective or purpose is to cause such damage by that means.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physical injury which creates a substantial risk of death,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tabs>
          <w:tab w:val="right" w:leader="none" w:pos="7920"/>
        </w:tabs>
        <w:spacing w:before="324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the</w:t>
      </w:r>
    </w:p>
    <w:p>
      <w:pPr>
        <w:pageBreakBefore w:val="false"/>
        <w:spacing w:before="0" w:after="700" w:line="324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defendant </w:t>
      </w:r>
      <w:r>
        <w:rPr>
          <w:rFonts w:ascii="Arial" w:hAnsi="Arial" w:eastAsia="Arial"/>
          <w:i w:val="tru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(defendant’s name)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intentionally damaged a building [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motor vehicle] by causing an explosion or a fire which caused serious physical injury to another person who was not a participant in the crime;</w:t>
      </w:r>
    </w:p>
    <w:p>
      <w:pPr>
        <w:pageBreakBefore w:val="false"/>
        <w:spacing w:before="259" w:after="0" w:line="276" w:lineRule="exact"/>
        <w:ind w:right="0" w:left="0" w:firstLine="432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561.85pt" to="252.05pt,561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150.00(2). Electrically driven invalid chairs being operated or driven by an invalid, vehicles which run only upon rails or tracks, and snowmobiles are not motor vehicles within this definition.</w:t>
      </w:r>
    </w:p>
    <w:p>
      <w:pPr>
        <w:pageBreakBefore w:val="false"/>
        <w:spacing w:before="235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People v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68 NY2d 1 (1986).</w:t>
      </w:r>
    </w:p>
    <w:p>
      <w:pPr>
        <w:pageBreakBefore w:val="false"/>
        <w:spacing w:before="245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43" w:after="0" w:line="27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-1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-1"/>
          <w:w w:val="100"/>
          <w:sz w:val="24"/>
          <w:vertAlign w:val="baseline"/>
          <w:lang w:val="en-US"/>
        </w:rPr>
        <w:t xml:space="preserve">Penal Law § 10.00(10).</w:t>
      </w:r>
    </w:p>
    <w:p>
      <w:pPr>
        <w:pageBreakBefore w:val="false"/>
        <w:spacing w:before="250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25" w:left="2155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1" w:after="0" w:line="326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at the time, a person who was not a participant in the crime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vehicle];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9" w:after="0" w:line="322" w:lineRule="exact"/>
        <w:ind w:right="0" w:left="1440" w:hanging="648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that such a person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vehicle], or the circumstances were such as to render the presence of such a person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 reasonable possibility.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7157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8" w:after="7157" w:line="326" w:lineRule="exact"/>
        <w:sectPr>
          <w:type w:val="nextPage"/>
          <w:pgSz w:w="12240" w:h="15840" w:orient="portrait"/>
          <w:pgMar w:bottom="1024" w:top="1440" w:right="2132" w:left="214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pPr>
        <w:tabs>
          <w:tab w:val="left" w:pos="648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