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360" w:left="1368" w:hanging="504"/>
        <w:jc w:val="left"/>
        <w:textAlignment w:val="baseline"/>
        <w:rPr>
          <w:rFonts w:ascii="Arial" w:hAnsi="Arial" w:eastAsia="Arial"/>
          <w:b w:val="true"/>
          <w:color w:val="000000"/>
          <w:spacing w:val="-9"/>
          <w:w w:val="100"/>
          <w:sz w:val="28"/>
          <w:vertAlign w:val="baseline"/>
          <w:lang w:val="en-US"/>
        </w:rPr>
      </w:pPr>
      <w:r>
        <w:rPr>
          <w:rFonts w:ascii="Arial" w:hAnsi="Arial" w:eastAsia="Arial"/>
          <w:b w:val="true"/>
          <w:color w:val="000000"/>
          <w:spacing w:val="-9"/>
          <w:w w:val="100"/>
          <w:sz w:val="28"/>
          <w:vertAlign w:val="baseline"/>
          <w:lang w:val="en-US"/>
        </w:rPr>
        <w:t xml:space="preserve">CRIMINAL TRESPASS IN THE THIRD DEGREE (Public Housing Project; Conspicuously Posted Rules) Penal Law § 140.10(e)</w:t>
      </w:r>
    </w:p>
    <w:p>
      <w:pPr>
        <w:pageBreakBefore w:val="false"/>
        <w:spacing w:before="0" w:after="0" w:line="329"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1992)</w:t>
        <w:br/>
      </w:r>
      <w:r>
        <w:rPr>
          <w:rFonts w:ascii="Arial" w:hAnsi="Arial" w:eastAsia="Arial"/>
          <w:b w:val="true"/>
          <w:color w:val="000000"/>
          <w:spacing w:val="0"/>
          <w:w w:val="100"/>
          <w:sz w:val="28"/>
          <w:vertAlign w:val="baseline"/>
          <w:lang w:val="en-US"/>
        </w:rPr>
        <w:t xml:space="preserve">(Revised Jan. 2013 and Jan. 2019</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5"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Trespass in the Third Degree.</w:t>
      </w:r>
    </w:p>
    <w:p>
      <w:pPr>
        <w:pageBreakBefore w:val="false"/>
        <w:spacing w:before="319" w:after="0" w:line="325"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Criminal Trespass in the Third Degree when that person knowingly enters [remains]</w:t>
      </w:r>
      <w:r>
        <w:rPr>
          <w:rFonts w:ascii="Arial" w:hAnsi="Arial" w:eastAsia="Arial"/>
          <w:color w:val="000000"/>
          <w:spacing w:val="-4"/>
          <w:w w:val="100"/>
          <w:sz w:val="28"/>
          <w:vertAlign w:val="superscript"/>
          <w:lang w:val="en-US"/>
        </w:rPr>
        <w:t xml:space="preserve">2</w:t>
      </w:r>
      <w:r>
        <w:rPr>
          <w:rFonts w:ascii="Arial" w:hAnsi="Arial" w:eastAsia="Arial"/>
          <w:color w:val="000000"/>
          <w:spacing w:val="-4"/>
          <w:w w:val="100"/>
          <w:sz w:val="17"/>
          <w:vertAlign w:val="baseline"/>
          <w:lang w:val="en-US"/>
        </w:rPr>
        <w:t xml:space="preserve"> </w:t>
      </w:r>
      <w:r>
        <w:rPr>
          <w:rFonts w:ascii="Arial" w:hAnsi="Arial" w:eastAsia="Arial"/>
          <w:color w:val="000000"/>
          <w:spacing w:val="-4"/>
          <w:w w:val="100"/>
          <w:sz w:val="28"/>
          <w:vertAlign w:val="baseline"/>
          <w:lang w:val="en-US"/>
        </w:rPr>
        <w:t xml:space="preserve">unlawfully in a building, which is used as a public housing project, and when that person does so in violation of conspicuously posted rules or regulations governing entry and use thereof.</w:t>
      </w:r>
    </w:p>
    <w:p>
      <w:pPr>
        <w:pageBreakBefore w:val="false"/>
        <w:spacing w:before="316"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9" w:after="0" w:line="314"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5"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term BUILDING has its ordinary meaning. Where a building consists of two or more units separately secured or occupied, each unit shall be deemed both a separate building in itself and a part of the main building.</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w:t>
      </w:r>
    </w:p>
    <w:p>
      <w:pPr>
        <w:pageBreakBefore w:val="false"/>
        <w:spacing w:before="321" w:after="882"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enters [remains] UNLAWFULLY in a building which is used as a public housing project when that person has</w:t>
      </w:r>
    </w:p>
    <w:p>
      <w:pPr>
        <w:pageBreakBefore w:val="false"/>
        <w:spacing w:before="256" w:after="0" w:line="277" w:lineRule="exact"/>
        <w:ind w:right="0" w:left="0" w:firstLine="0"/>
        <w:jc w:val="both"/>
        <w:textAlignment w:val="baseline"/>
        <w:rPr>
          <w:rFonts w:ascii="Arial" w:hAnsi="Arial" w:eastAsia="Arial"/>
          <w:color w:val="000000"/>
          <w:spacing w:val="0"/>
          <w:w w:val="100"/>
          <w:sz w:val="14"/>
          <w:vertAlign w:val="superscript"/>
          <w:lang w:val="en-US"/>
        </w:rPr>
      </w:pPr>
      <w:r>
        <w:pict>
          <v:line strokeweight="0.95pt" strokecolor="#000000" from="108pt,522.25pt" to="252.05pt,522.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January, 2013, revision was for the purpose of expanding the definition of “unlawfully” when the trespass is premised on a violation of an order of protection in order to accord with the dictates of </w:t>
      </w:r>
      <w:r>
        <w:rPr>
          <w:rFonts w:ascii="Arial" w:hAnsi="Arial" w:eastAsia="Arial"/>
          <w:i w:val="true"/>
          <w:color w:val="000000"/>
          <w:spacing w:val="0"/>
          <w:w w:val="100"/>
          <w:sz w:val="24"/>
          <w:vertAlign w:val="baseline"/>
          <w:lang w:val="en-US"/>
        </w:rPr>
        <w:t xml:space="preserve">People v Cajigas</w:t>
      </w:r>
      <w:r>
        <w:rPr>
          <w:rFonts w:ascii="Arial" w:hAnsi="Arial" w:eastAsia="Arial"/>
          <w:color w:val="000000"/>
          <w:spacing w:val="0"/>
          <w:w w:val="100"/>
          <w:sz w:val="24"/>
          <w:vertAlign w:val="baseline"/>
          <w:lang w:val="en-US"/>
        </w:rPr>
        <w:t xml:space="preserve">,19 NY3d 697 (2012).</w:t>
      </w:r>
    </w:p>
    <w:p>
      <w:pPr>
        <w:pageBreakBefore w:val="false"/>
        <w:spacing w:before="271" w:after="0" w:line="277"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January, 2019, revision was for the purpose of improving the clarity of the elements.</w:t>
      </w:r>
    </w:p>
    <w:p>
      <w:pPr>
        <w:pageBreakBefore w:val="false"/>
        <w:spacing w:before="238"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When the accusation is that the defendant entered lawfully upon the premises but remained unlawfully after license and privilege to be on the premises terminated, substitute the word “remains” for the word “enters” as indicated by the use of brackets. </w:t>
      </w:r>
      <w:r>
        <w:rPr>
          <w:rFonts w:ascii="Arial" w:hAnsi="Arial" w:eastAsia="Arial"/>
          <w:i w:val="true"/>
          <w:color w:val="000000"/>
          <w:spacing w:val="0"/>
          <w:w w:val="100"/>
          <w:sz w:val="24"/>
          <w:vertAlign w:val="baseline"/>
          <w:lang w:val="en-US"/>
        </w:rPr>
        <w:t xml:space="preserve">See People v Gaines</w:t>
      </w:r>
      <w:r>
        <w:rPr>
          <w:rFonts w:ascii="Arial" w:hAnsi="Arial" w:eastAsia="Arial"/>
          <w:color w:val="000000"/>
          <w:spacing w:val="0"/>
          <w:w w:val="100"/>
          <w:sz w:val="24"/>
          <w:vertAlign w:val="baseline"/>
          <w:lang w:val="en-US"/>
        </w:rPr>
        <w:t xml:space="preserve">, 74 NY2d 358 (1989).</w:t>
      </w:r>
    </w:p>
    <w:p>
      <w:pPr>
        <w:pageBreakBefore w:val="false"/>
        <w:spacing w:before="237" w:after="0" w:line="277"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140.00(2).</w:t>
      </w:r>
    </w:p>
    <w:p>
      <w:pPr>
        <w:sectPr>
          <w:type w:val="nextPage"/>
          <w:pgSz w:w="12240" w:h="15840" w:orient="portrait"/>
          <w:pgMar w:bottom="644" w:top="1080" w:right="2140" w:left="2160" w:header="720" w:footer="0"/>
          <w:titlePg w:val="false"/>
          <w:textDirection w:val="lrTb"/>
        </w:sectPr>
      </w:pPr>
    </w:p>
    <w:p>
      <w:pPr>
        <w:pageBreakBefore w:val="false"/>
        <w:spacing w:before="47"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no license or privilege to enter [remain] in such building.</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To have no license or privilege to enter [remain] means to have no right, permission or authority to do so.</w:t>
      </w:r>
    </w:p>
    <w:p>
      <w:pPr>
        <w:pageBreakBefore w:val="false"/>
        <w:spacing w:before="330"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is subject to and knows of an order of protection directing him/her to stay away from a building which he/she knowingly enters, even by invitation or permission, UNLAWFULLY enters that building.</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334" w:after="0" w:line="315" w:lineRule="exact"/>
        <w:ind w:right="0" w:left="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2"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who, regardless of his or her intent, enters [remains] in or upon premises which are at the time open to the public does so with license and privilege unless he or she defies a lawful order not to enter [remain], personally communicated to him or her by the owner of such premises or other authorized person.</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28"/>
          <w:vertAlign w:val="baseline"/>
          <w:lang w:val="en-US"/>
        </w:rPr>
        <w:t xml:space="preserve">]</w:t>
      </w:r>
    </w:p>
    <w:p>
      <w:pPr>
        <w:pageBreakBefore w:val="false"/>
        <w:spacing w:before="344" w:after="0" w:line="31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Add, where appropriate:</w:t>
      </w:r>
    </w:p>
    <w:p>
      <w:pPr>
        <w:pageBreakBefore w:val="false"/>
        <w:spacing w:before="0" w:after="0" w:line="321"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license or privilege to enter [remain] in a building which is only partly open to the public is not a license or privilege to enter [remain], in that part of the building which is not open to the public.</w:t>
      </w:r>
      <w:r>
        <w:rPr>
          <w:rFonts w:ascii="Arial" w:hAnsi="Arial" w:eastAsia="Arial"/>
          <w:color w:val="000000"/>
          <w:spacing w:val="0"/>
          <w:w w:val="100"/>
          <w:sz w:val="28"/>
          <w:vertAlign w:val="superscript"/>
          <w:lang w:val="en-US"/>
        </w:rPr>
        <w:t xml:space="preserve">7</w:t>
      </w:r>
      <w:r>
        <w:rPr>
          <w:rFonts w:ascii="Arial" w:hAnsi="Arial" w:eastAsia="Arial"/>
          <w:color w:val="000000"/>
          <w:spacing w:val="0"/>
          <w:w w:val="100"/>
          <w:sz w:val="28"/>
          <w:vertAlign w:val="baseline"/>
          <w:lang w:val="en-US"/>
        </w:rPr>
        <w:t xml:space="preserve">]</w:t>
      </w:r>
    </w:p>
    <w:p>
      <w:pPr>
        <w:pageBreakBefore w:val="false"/>
        <w:spacing w:before="328" w:after="814" w:line="324" w:lineRule="exact"/>
        <w:ind w:right="0" w:left="0" w:firstLine="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enters [remains] unlawfully in a building, which is used as a public housing project, in violation of conspicuously posted rules or regulations governing entry and use thereof, when that person is aware that he or she is entering [remaining] in such building without license or privilege to do so and in violation of such rules or regulations.</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252" w:after="0" w:line="275"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8pt,581.5pt" to="252.05pt,581.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45" w:after="0" w:line="275" w:lineRule="exact"/>
        <w:ind w:right="0" w:left="0" w:firstLine="0"/>
        <w:jc w:val="left"/>
        <w:textAlignment w:val="baseline"/>
        <w:rPr>
          <w:rFonts w:ascii="Arial" w:hAnsi="Arial" w:eastAsia="Arial"/>
          <w:i w:val="true"/>
          <w:color w:val="000000"/>
          <w:spacing w:val="-2"/>
          <w:w w:val="100"/>
          <w:sz w:val="14"/>
          <w:vertAlign w:val="superscript"/>
          <w:lang w:val="en-US"/>
        </w:rPr>
      </w:pPr>
      <w:r>
        <w:rPr>
          <w:rFonts w:ascii="Arial" w:hAnsi="Arial" w:eastAsia="Arial"/>
          <w:i w:val="true"/>
          <w:color w:val="000000"/>
          <w:spacing w:val="-2"/>
          <w:w w:val="100"/>
          <w:sz w:val="14"/>
          <w:vertAlign w:val="superscript"/>
          <w:lang w:val="en-US"/>
        </w:rPr>
        <w:t xml:space="preserve">5</w:t>
      </w:r>
      <w:r>
        <w:rPr>
          <w:rFonts w:ascii="Arial" w:hAnsi="Arial" w:eastAsia="Arial"/>
          <w:i w:val="true"/>
          <w:color w:val="000000"/>
          <w:spacing w:val="-2"/>
          <w:w w:val="100"/>
          <w:sz w:val="24"/>
          <w:vertAlign w:val="baseline"/>
          <w:lang w:val="en-US"/>
        </w:rPr>
        <w:t xml:space="preserve"> See </w:t>
      </w:r>
      <w:r>
        <w:rPr>
          <w:rFonts w:ascii="Arial" w:hAnsi="Arial" w:eastAsia="Arial"/>
          <w:color w:val="000000"/>
          <w:spacing w:val="-2"/>
          <w:w w:val="100"/>
          <w:sz w:val="24"/>
          <w:vertAlign w:val="baseline"/>
          <w:lang w:val="en-US"/>
        </w:rPr>
        <w:t xml:space="preserve">footnote 1.</w:t>
      </w:r>
    </w:p>
    <w:p>
      <w:pPr>
        <w:pageBreakBefore w:val="false"/>
        <w:spacing w:before="242"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6</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48"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140.00(5).</w:t>
      </w:r>
    </w:p>
    <w:p>
      <w:pPr>
        <w:pageBreakBefore w:val="false"/>
        <w:spacing w:before="244" w:after="0" w:line="275" w:lineRule="exact"/>
        <w:ind w:right="0" w:left="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w:t>
      </w:r>
    </w:p>
    <w:p>
      <w:pPr>
        <w:sectPr>
          <w:footerReference w:type="default" r:id="fId0"/>
          <w:type w:val="nextPage"/>
          <w:pgSz w:w="12240" w:h="15840" w:orient="portrait"/>
          <w:pgMar w:bottom="972" w:top="1040" w:right="2140" w:left="2160" w:header="720" w:footer="1127"/>
          <w:titlePg w:val="false"/>
          <w:textDirection w:val="lrTb"/>
        </w:sectPr>
      </w:pPr>
    </w:p>
    <w:p>
      <w:pPr>
        <w:pageBreakBefore w:val="false"/>
        <w:spacing w:before="1"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30" w:after="0" w:line="322" w:lineRule="exact"/>
        <w:ind w:right="0" w:left="1440" w:hanging="72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That on or about (</w:t>
      </w:r>
      <w:r>
        <w:rPr>
          <w:rFonts w:ascii="Arial" w:hAnsi="Arial" w:eastAsia="Arial"/>
          <w:i w:val="true"/>
          <w:color w:val="000000"/>
          <w:spacing w:val="2"/>
          <w:w w:val="100"/>
          <w:sz w:val="28"/>
          <w:u w:val="single"/>
          <w:vertAlign w:val="baseline"/>
          <w:lang w:val="en-US"/>
        </w:rPr>
        <w:t xml:space="preserve">date</w:t>
      </w:r>
      <w:r>
        <w:rPr>
          <w:rFonts w:ascii="Arial" w:hAnsi="Arial" w:eastAsia="Arial"/>
          <w:color w:val="000000"/>
          <w:spacing w:val="2"/>
          <w:w w:val="100"/>
          <w:sz w:val="28"/>
          <w:vertAlign w:val="baseline"/>
          <w:lang w:val="en-US"/>
        </w:rPr>
        <w:t xml:space="preserve">) , in the County of (</w:t>
      </w:r>
      <w:r>
        <w:rPr>
          <w:rFonts w:ascii="Arial" w:hAnsi="Arial" w:eastAsia="Arial"/>
          <w:i w:val="true"/>
          <w:color w:val="000000"/>
          <w:spacing w:val="2"/>
          <w:w w:val="100"/>
          <w:sz w:val="28"/>
          <w:u w:val="single"/>
          <w:vertAlign w:val="baseline"/>
          <w:lang w:val="en-US"/>
        </w:rPr>
        <w:t xml:space="preserve">county</w:t>
      </w:r>
      <w:r>
        <w:rPr>
          <w:rFonts w:ascii="Arial" w:hAnsi="Arial" w:eastAsia="Arial"/>
          <w:color w:val="000000"/>
          <w:spacing w:val="2"/>
          <w:w w:val="100"/>
          <w:sz w:val="28"/>
          <w:vertAlign w:val="baseline"/>
          <w:lang w:val="en-US"/>
        </w:rPr>
        <w:t xml:space="preserve">),</w:t>
      </w:r>
    </w:p>
    <w:p>
      <w:pPr>
        <w:pageBreakBefore w:val="false"/>
        <w:tabs>
          <w:tab w:val="right" w:leader="none" w:pos="7920"/>
        </w:tabs>
        <w:spacing w:before="0" w:after="0" w:line="322"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w:t>
      </w:r>
      <w:r>
        <w:rPr>
          <w:rFonts w:ascii="Arial" w:hAnsi="Arial" w:eastAsia="Arial"/>
          <w:color w:val="000000"/>
          <w:spacing w:val="0"/>
          <w:w w:val="100"/>
          <w:sz w:val="28"/>
          <w:vertAlign w:val="baseline"/>
          <w:lang w:val="en-US"/>
        </w:rPr>
        <w:t xml:space="preserve">(defendant's name) entered</w:t>
        <w:br/>
      </w:r>
      <w:r>
        <w:rPr>
          <w:rFonts w:ascii="Arial" w:hAnsi="Arial" w:eastAsia="Arial"/>
          <w:color w:val="000000"/>
          <w:spacing w:val="0"/>
          <w:w w:val="100"/>
          <w:sz w:val="28"/>
          <w:vertAlign w:val="baseline"/>
          <w:lang w:val="en-US"/>
        </w:rPr>
        <w:t xml:space="preserve">[remained] unlawfully in a building which is used as a public housing project;</w:t>
      </w:r>
    </w:p>
    <w:p>
      <w:pPr>
        <w:pageBreakBefore w:val="false"/>
        <w:numPr>
          <w:ilvl w:val="0"/>
          <w:numId w:val="1"/>
        </w:numPr>
        <w:tabs>
          <w:tab w:val="clear" w:pos="720"/>
          <w:tab w:val="left" w:pos="1440"/>
        </w:tabs>
        <w:spacing w:before="330" w:after="0" w:line="318" w:lineRule="exact"/>
        <w:ind w:right="0"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 violation of conspicuously posted rules or regulations governing entry and use thereof.</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963" w:top="1080" w:right="2140" w:left="2160" w:header="720" w:footer="112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6"/>
      </w:tabs>
      <w:spacing w:before="0" w:after="0" w:line="288" w:lineRule="exact"/>
      <w:ind w:right="0" w:left="0"/>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Arial" w:hAnsi="Arial" w:eastAsia="Arial"/>
        <w:color w:val="000000"/>
        <w:spacing w:val="0"/>
        <w:w w:val="100"/>
        <w:sz w:val="26"/>
        <w:vertAlign w:val="baseline"/>
        <w:lang w:val="en-US"/>
      </w:rPr>
      <w:fldChar w:fldCharType="begin"/>
    </w:r>
    <w:r>
      <w:rPr>
        <w:rFonts w:ascii="Arial" w:hAnsi="Arial" w:eastAsia="Arial"/>
        <w:color w:val="000000"/>
        <w:spacing w:val="0"/>
        <w:w w:val="100"/>
        <w:sz w:val="26"/>
        <w:vertAlign w:val="baseline"/>
        <w:lang w:val="en-US"/>
      </w:rPr>
      <w:instrText xml:space="preserve">PAGE</w:instrText>
    </w:r>
    <w:r>
      <w:rPr>
        <w:rFonts w:ascii="Arial" w:hAnsi="Arial" w:eastAsia="Arial"/>
        <w:color w:val="000000"/>
        <w:spacing w:val="0"/>
        <w:w w:val="100"/>
        <w:sz w:val="26"/>
        <w:vertAlign w:val="baseline"/>
        <w:lang w:val="en-US"/>
      </w:rPr>
      <w:fldChar w:fldCharType="end"/>
    </w:r>
    <w:r>
      <w:rPr>
        <w:rFonts w:ascii="Arial" w:hAnsi="Arial" w:eastAsia="Arial"/>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