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CUSTODIAL INTERFERENCE IN THE SECOND DEGREE</w:t>
        <w:br/>
      </w:r>
      <w:r>
        <w:rPr>
          <w:rFonts w:ascii="Arial" w:hAnsi="Arial" w:eastAsia="Arial"/>
          <w:b w:val="true"/>
          <w:color w:val="000000"/>
          <w:spacing w:val="0"/>
          <w:w w:val="100"/>
          <w:sz w:val="28"/>
          <w:vertAlign w:val="baseline"/>
          <w:lang w:val="en-US"/>
        </w:rPr>
        <w:t xml:space="preserve">(Relative of a Child)</w:t>
        <w:br/>
      </w:r>
      <w:r>
        <w:rPr>
          <w:rFonts w:ascii="Arial" w:hAnsi="Arial" w:eastAsia="Arial"/>
          <w:b w:val="true"/>
          <w:color w:val="000000"/>
          <w:spacing w:val="0"/>
          <w:w w:val="100"/>
          <w:sz w:val="28"/>
          <w:vertAlign w:val="baseline"/>
          <w:lang w:val="en-US"/>
        </w:rPr>
        <w:t xml:space="preserve">Penal Law § 135.45(1)</w:t>
        <w:br/>
      </w: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32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Custodial Interference in the Second Degree.</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custodial interference in the second degree when being a relative of a child less than sixteen years old, intending to hold such child permanently or for a protracted period, and knowing that he or she has no legal right to do so, he or she takes or entices such child from his or her lawful custodian.</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4" w:after="0" w:line="319"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RELATIVE includes a:</w:t>
      </w:r>
    </w:p>
    <w:p>
      <w:pPr>
        <w:pageBreakBefore w:val="false"/>
        <w:spacing w:before="2"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[Select appropriate relative:</w:t>
      </w:r>
    </w:p>
    <w:p>
      <w:pPr>
        <w:pageBreakBefore w:val="false"/>
        <w:spacing w:before="1"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parent, ancestor, brother, sister, uncle, or aunt.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INTENDING to hold a child permanently or for a protracted period is a person whose conscious objective or purpose is to do so.</w:t>
      </w:r>
    </w:p>
    <w:p>
      <w:pPr>
        <w:pageBreakBefore w:val="false"/>
        <w:spacing w:before="33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knowledge by the defendant of the age of such child is not an element of the offense and it is not therefore a defense to a prosecution for this offense that the defendant did not know the age of the child or believed such age to be the same as or greater than that specified in the statute.</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32" w:after="354" w:line="319" w:lineRule="exact"/>
        <w:ind w:right="0" w:left="72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 order for you to find the defendant guilty of this crime, the</w:t>
      </w:r>
    </w:p>
    <w:p>
      <w:pPr>
        <w:pageBreakBefore w:val="false"/>
        <w:spacing w:before="258" w:after="0" w:line="276" w:lineRule="exact"/>
        <w:ind w:right="0" w:left="0" w:firstLine="0"/>
        <w:jc w:val="left"/>
        <w:textAlignment w:val="baseline"/>
        <w:rPr>
          <w:rFonts w:ascii="Arial" w:hAnsi="Arial" w:eastAsia="Arial"/>
          <w:color w:val="000000"/>
          <w:spacing w:val="4"/>
          <w:w w:val="100"/>
          <w:sz w:val="14"/>
          <w:vertAlign w:val="superscript"/>
          <w:lang w:val="en-US"/>
        </w:rPr>
      </w:pPr>
      <w:r>
        <w:pict>
          <v:line strokeweight="1.2pt" strokecolor="#000000" from="108pt,643.45pt" to="252.05pt,643.45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w:t>
      </w:r>
      <w:r>
        <w:rPr>
          <w:rFonts w:ascii="Arial" w:hAnsi="Arial" w:eastAsia="Arial"/>
          <w:color w:val="000000"/>
          <w:spacing w:val="4"/>
          <w:w w:val="100"/>
          <w:sz w:val="24"/>
          <w:vertAlign w:val="baseline"/>
          <w:lang w:val="en-US"/>
        </w:rPr>
        <w:t xml:space="preserve"> Penal Law § 135.00(3).</w:t>
      </w:r>
    </w:p>
    <w:p>
      <w:pPr>
        <w:pageBreakBefore w:val="false"/>
        <w:spacing w:before="204" w:after="0" w:line="294"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15.05(1).</w:t>
      </w:r>
    </w:p>
    <w:p>
      <w:pPr>
        <w:pageBreakBefore w:val="false"/>
        <w:spacing w:before="238" w:after="0" w:line="276" w:lineRule="exact"/>
        <w:ind w:right="0" w:left="0" w:firstLine="0"/>
        <w:jc w:val="left"/>
        <w:textAlignment w:val="baseline"/>
        <w:rPr>
          <w:rFonts w:ascii="Arial" w:hAnsi="Arial" w:eastAsia="Arial"/>
          <w:color w:val="000000"/>
          <w:spacing w:val="5"/>
          <w:w w:val="100"/>
          <w:sz w:val="14"/>
          <w:vertAlign w:val="superscript"/>
          <w:lang w:val="en-US"/>
        </w:rPr>
      </w:pPr>
      <w:r>
        <w:rPr>
          <w:rFonts w:ascii="Arial" w:hAnsi="Arial" w:eastAsia="Arial"/>
          <w:color w:val="000000"/>
          <w:spacing w:val="5"/>
          <w:w w:val="100"/>
          <w:sz w:val="14"/>
          <w:vertAlign w:val="superscript"/>
          <w:lang w:val="en-US"/>
        </w:rPr>
        <w:t xml:space="preserve">3</w:t>
      </w:r>
      <w:r>
        <w:rPr>
          <w:rFonts w:ascii="Arial" w:hAnsi="Arial" w:eastAsia="Arial"/>
          <w:color w:val="000000"/>
          <w:spacing w:val="5"/>
          <w:w w:val="100"/>
          <w:sz w:val="24"/>
          <w:vertAlign w:val="baseline"/>
          <w:lang w:val="en-US"/>
        </w:rPr>
        <w:t xml:space="preserve"> Penal Law § 15.20(3).</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6"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People are required to prove, from all of the evidence in the case, beyond a reasonable doubt, each of the following four elements:</w:t>
      </w:r>
    </w:p>
    <w:p>
      <w:pPr>
        <w:pageBreakBefore w:val="false"/>
        <w:numPr>
          <w:ilvl w:val="0"/>
          <w:numId w:val="1"/>
        </w:numPr>
        <w:tabs>
          <w:tab w:val="clear" w:pos="360"/>
          <w:tab w:val="left" w:pos="1080"/>
        </w:tabs>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took or enticed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his/her lawful custodian;</w:t>
      </w:r>
    </w:p>
    <w:p>
      <w:pPr>
        <w:pageBreakBefore w:val="false"/>
        <w:numPr>
          <w:ilvl w:val="0"/>
          <w:numId w:val="1"/>
        </w:numPr>
        <w:tabs>
          <w:tab w:val="clear" w:pos="360"/>
          <w:tab w:val="left" w:pos="1080"/>
        </w:tabs>
        <w:spacing w:before="327"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 that he had no legal right to do so;</w:t>
      </w:r>
    </w:p>
    <w:p>
      <w:pPr>
        <w:pageBreakBefore w:val="false"/>
        <w:numPr>
          <w:ilvl w:val="0"/>
          <w:numId w:val="1"/>
        </w:numPr>
        <w:tabs>
          <w:tab w:val="clear" w:pos="360"/>
          <w:tab w:val="left" w:pos="1080"/>
        </w:tabs>
        <w:spacing w:before="321"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intending to hold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permanently or for a protracted period; and</w:t>
      </w:r>
    </w:p>
    <w:p>
      <w:pPr>
        <w:pageBreakBefore w:val="false"/>
        <w:numPr>
          <w:ilvl w:val="0"/>
          <w:numId w:val="2"/>
        </w:numPr>
        <w:tabs>
          <w:tab w:val="clear" w:pos="504"/>
          <w:tab w:val="left" w:pos="1224"/>
        </w:tabs>
        <w:spacing w:before="328"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a relative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child less than sixteen years old.</w:t>
      </w:r>
    </w:p>
    <w:p>
      <w:pPr>
        <w:pageBreakBefore w:val="false"/>
        <w:spacing w:before="33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5213"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5213" w:line="326" w:lineRule="exact"/>
        <w:sectPr>
          <w:type w:val="nextPage"/>
          <w:pgSz w:w="12240" w:h="15840" w:orient="portrait"/>
          <w:pgMar w:bottom="1024" w:top="1440" w:right="2145" w:left="215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abstractNum w:abstractNumId="2">
    <w:lvl w:ilvl="0">
      <w:start w:val="0"/>
      <w:numFmt w:val="decimal"/>
      <w:lvlText w:val="%1."/>
      <w:pPr>
        <w:tabs>
          <w:tab w:val="left" w:pos="504"/>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