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SEXUALLY MOTIVATED FELONY</w:t>
        <w:br/>
      </w:r>
      <w:r>
        <w:rPr>
          <w:rFonts w:ascii="Arial" w:hAnsi="Arial" w:eastAsia="Arial"/>
          <w:b w:val="true"/>
          <w:color w:val="000000"/>
          <w:spacing w:val="0"/>
          <w:w w:val="100"/>
          <w:sz w:val="28"/>
          <w:vertAlign w:val="baseline"/>
          <w:lang w:val="en-US"/>
        </w:rPr>
        <w:t xml:space="preserve">Penal Law § 130.91(1)</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April 14, 2007)</w:t>
      </w:r>
    </w:p>
    <w:p>
      <w:pPr>
        <w:pageBreakBefore w:val="false"/>
        <w:spacing w:before="328"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Sexually Motivated Felony.</w:t>
      </w:r>
    </w:p>
    <w:p>
      <w:pPr>
        <w:pageBreakBefore w:val="false"/>
        <w:spacing w:before="319" w:after="0" w:line="325"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Sexually Motivated Felony when he or she commits (</w:t>
      </w:r>
      <w:r>
        <w:rPr>
          <w:rFonts w:ascii="Arial" w:hAnsi="Arial" w:eastAsia="Arial"/>
          <w:i w:val="true"/>
          <w:color w:val="000000"/>
          <w:spacing w:val="0"/>
          <w:w w:val="100"/>
          <w:sz w:val="28"/>
          <w:u w:val="single"/>
          <w:vertAlign w:val="baseline"/>
          <w:lang w:val="en-US"/>
        </w:rPr>
        <w:t xml:space="preserve">name specifed offense</w:t>
      </w:r>
      <w:r>
        <w:rPr>
          <w:rFonts w:ascii="Arial" w:hAnsi="Arial" w:eastAsia="Arial"/>
          <w:i w:val="true"/>
          <w:color w:val="000000"/>
          <w:spacing w:val="0"/>
          <w:w w:val="100"/>
          <w:sz w:val="28"/>
          <w:vertAlign w:val="superscript"/>
          <w:lang w:val="en-US"/>
        </w:rPr>
        <w:t xml:space="preserve">1</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for the purpose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in whole or substantial part, of his or her own direct sexual gratification.</w:t>
      </w:r>
    </w:p>
    <w:p>
      <w:pPr>
        <w:pageBreakBefore w:val="false"/>
        <w:spacing w:before="321" w:after="0" w:line="326"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commits the offense of </w:t>
      </w:r>
      <w:r>
        <w:rPr>
          <w:rFonts w:ascii="Arial" w:hAnsi="Arial" w:eastAsia="Arial"/>
          <w:i w:val="true"/>
          <w:color w:val="000000"/>
          <w:spacing w:val="0"/>
          <w:w w:val="100"/>
          <w:sz w:val="28"/>
          <w:u w:val="single"/>
          <w:vertAlign w:val="baseline"/>
          <w:lang w:val="en-US"/>
        </w:rPr>
        <w:t xml:space="preserve">(name specified offense)</w:t>
      </w:r>
      <w:r>
        <w:rPr>
          <w:rFonts w:ascii="Arial" w:hAnsi="Arial" w:eastAsia="Arial"/>
          <w:color w:val="000000"/>
          <w:spacing w:val="0"/>
          <w:w w:val="100"/>
          <w:sz w:val="28"/>
          <w:vertAlign w:val="baseline"/>
          <w:lang w:val="en-US"/>
        </w:rPr>
        <w:t xml:space="preserve"> when:</w:t>
      </w:r>
    </w:p>
    <w:p>
      <w:pPr>
        <w:pageBreakBefore w:val="false"/>
        <w:spacing w:before="324" w:after="0" w:line="323"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Here, cross-reference to the applicable definition in a previously explained count, or now read statutory definition of applicable offense and any defined terms and applicable charges as set forth in CJI2d for that offense.</w:t>
      </w:r>
      <w:r>
        <w:rPr>
          <w:rFonts w:ascii="Arial" w:hAnsi="Arial" w:eastAsia="Arial"/>
          <w:color w:val="000000"/>
          <w:spacing w:val="0"/>
          <w:w w:val="100"/>
          <w:sz w:val="28"/>
          <w:vertAlign w:val="baseline"/>
          <w:lang w:val="en-US"/>
        </w:rPr>
        <w:t xml:space="preserve">]</w:t>
      </w:r>
    </w:p>
    <w:p>
      <w:pPr>
        <w:pageBreakBefore w:val="false"/>
        <w:spacing w:before="316" w:after="0" w:line="326"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this case, beyond a reasonable doubt, both of the following two elements:</w:t>
      </w:r>
    </w:p>
    <w:p>
      <w:pPr>
        <w:pageBreakBefore w:val="false"/>
        <w:numPr>
          <w:ilvl w:val="0"/>
          <w:numId w:val="1"/>
        </w:numPr>
        <w:tabs>
          <w:tab w:val="clear" w:pos="720"/>
          <w:tab w:val="left" w:pos="1440"/>
        </w:tabs>
        <w:spacing w:before="331" w:after="0" w:line="323"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(name of defendant) </w:t>
      </w:r>
      <w:r>
        <w:rPr>
          <w:rFonts w:ascii="Arial" w:hAnsi="Arial" w:eastAsia="Arial"/>
          <w:color w:val="000000"/>
          <w:spacing w:val="0"/>
          <w:w w:val="100"/>
          <w:sz w:val="28"/>
          <w:vertAlign w:val="baseline"/>
          <w:lang w:val="en-US"/>
        </w:rPr>
        <w:t xml:space="preserve"> , committed the crime of ( </w:t>
      </w:r>
      <w:r>
        <w:rPr>
          <w:rFonts w:ascii="Arial" w:hAnsi="Arial" w:eastAsia="Arial"/>
          <w:i w:val="true"/>
          <w:color w:val="000000"/>
          <w:spacing w:val="0"/>
          <w:w w:val="100"/>
          <w:sz w:val="28"/>
          <w:u w:val="single"/>
          <w:vertAlign w:val="baseline"/>
          <w:lang w:val="en-US"/>
        </w:rPr>
        <w:t xml:space="preserve">specified offense</w:t>
      </w:r>
      <w:r>
        <w:rPr>
          <w:rFonts w:ascii="Arial" w:hAnsi="Arial" w:eastAsia="Arial"/>
          <w:i w:val="true"/>
          <w:color w:val="000000"/>
          <w:spacing w:val="0"/>
          <w:w w:val="100"/>
          <w:sz w:val="28"/>
          <w:vertAlign w:val="baseline"/>
          <w:lang w:val="en-US"/>
        </w:rPr>
        <w:t xml:space="preserv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0" w:after="0" w:line="324"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for the purpose, in whole or substantial part, of his/her own direct sexual gratification.</w:t>
      </w:r>
    </w:p>
    <w:p>
      <w:pPr>
        <w:pageBreakBefore w:val="false"/>
        <w:spacing w:before="327" w:after="362" w:line="321" w:lineRule="exact"/>
        <w:ind w:right="72"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If you find the People have proven beyond a reasonable doubt both of those elements, you must find the defendant guilty</w:t>
      </w:r>
    </w:p>
    <w:p>
      <w:pPr>
        <w:pageBreakBefore w:val="false"/>
        <w:spacing w:before="248" w:after="0" w:line="277"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75pt,626.9pt" to="252.05pt,62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Insert the applicable crime set forth in Penal Law § 130.91(2).</w:t>
      </w:r>
    </w:p>
    <w:p>
      <w:pPr>
        <w:pageBreakBefore w:val="false"/>
        <w:spacing w:before="243"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Although there is no statutory definition of “for the purpose of,” the Court of Appeals has held that, with respect to Robbery as defined in Penal Law §160.00, “for the purpose of” is the equivalent of a mens rea element of intent</w:t>
      </w:r>
      <w:r>
        <w:rPr>
          <w:rFonts w:ascii="Arial" w:hAnsi="Arial" w:eastAsia="Arial"/>
          <w:i w:val="true"/>
          <w:color w:val="000000"/>
          <w:spacing w:val="0"/>
          <w:w w:val="100"/>
          <w:sz w:val="24"/>
          <w:vertAlign w:val="baseline"/>
          <w:lang w:val="en-US"/>
        </w:rPr>
        <w:t xml:space="preserve">. See, People v. Smith</w:t>
      </w:r>
      <w:r>
        <w:rPr>
          <w:rFonts w:ascii="Arial" w:hAnsi="Arial" w:eastAsia="Arial"/>
          <w:color w:val="000000"/>
          <w:spacing w:val="0"/>
          <w:w w:val="100"/>
          <w:sz w:val="24"/>
          <w:vertAlign w:val="baseline"/>
          <w:lang w:val="en-US"/>
        </w:rPr>
        <w:t xml:space="preserve">, 79 N.Y.2d 309 (1992).</w:t>
      </w:r>
    </w:p>
    <w:p>
      <w:pPr>
        <w:sectPr>
          <w:type w:val="nextPage"/>
          <w:pgSz w:w="12240" w:h="15840" w:orient="portrait"/>
          <w:pgMar w:bottom="984" w:top="1440" w:right="2105" w:left="2155"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of this crime.</w:t>
      </w:r>
    </w:p>
    <w:p>
      <w:pPr>
        <w:pageBreakBefore w:val="false"/>
        <w:spacing w:before="329" w:after="11044"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9" w:after="11044" w:line="324" w:lineRule="exact"/>
        <w:sectPr>
          <w:type w:val="nextPage"/>
          <w:pgSz w:w="12240" w:h="15840" w:orient="portrait"/>
          <w:pgMar w:bottom="1024" w:top="1440" w:right="2127" w:left="2133"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30" w:left="2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