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FEMALE GENITAL MUTILATION</w:t>
        <w:br/>
      </w:r>
      <w:r>
        <w:rPr>
          <w:rFonts w:ascii="Arial" w:hAnsi="Arial" w:eastAsia="Arial"/>
          <w:b w:val="true"/>
          <w:color w:val="000000"/>
          <w:spacing w:val="0"/>
          <w:w w:val="100"/>
          <w:sz w:val="28"/>
          <w:vertAlign w:val="baseline"/>
          <w:lang w:val="en-US"/>
        </w:rPr>
        <w:t xml:space="preserve">Penal Law § 130.85(1)(b)</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1997)</w:t>
      </w:r>
    </w:p>
    <w:p>
      <w:pPr>
        <w:pageBreakBefore w:val="false"/>
        <w:spacing w:before="324"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Female Genital Mutilation.</w:t>
      </w:r>
    </w:p>
    <w:p>
      <w:pPr>
        <w:pageBreakBefore w:val="false"/>
        <w:spacing w:before="31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female genital mutilation when being a parent, guardian or other person legally responsible and charged with the care or custody of a child less than eighteen years old, he or she knowingly consents to the circumcision, excision or infibulation of whole or part of such child's labia majora or labia minora or clitoris.</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4" w:after="945"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KNOWINGLY consents to the circumcision, excision or infibulation of whole or part of a child's labia majora or labia minora or clitoris when that person is aware that he or she</w:t>
      </w:r>
    </w:p>
    <w:p>
      <w:pPr>
        <w:pageBreakBefore w:val="false"/>
        <w:spacing w:before="270" w:after="0" w:line="292" w:lineRule="exact"/>
        <w:ind w:right="0" w:left="360" w:firstLine="0"/>
        <w:jc w:val="left"/>
        <w:textAlignment w:val="baseline"/>
        <w:rPr>
          <w:rFonts w:ascii="Arial" w:hAnsi="Arial" w:eastAsia="Arial"/>
          <w:color w:val="000000"/>
          <w:spacing w:val="2"/>
          <w:w w:val="100"/>
          <w:sz w:val="17"/>
          <w:vertAlign w:val="baseline"/>
          <w:lang w:val="en-US"/>
        </w:rPr>
      </w:pPr>
      <w:r>
        <w:pict>
          <v:line strokeweight="0.95pt" strokecolor="#000000" from="108pt,429.6pt" to="252.05pt,429.6pt" style="position:absolute;mso-position-horizontal-relative:page;mso-position-vertical-relative:page;">
            <v:stroke dashstyle="solid"/>
          </v:line>
        </w:pict>
      </w:r>
      <w:r>
        <w:rPr>
          <w:rFonts w:ascii="Arial" w:hAnsi="Arial" w:eastAsia="Arial"/>
          <w:color w:val="000000"/>
          <w:spacing w:val="2"/>
          <w:w w:val="100"/>
          <w:sz w:val="17"/>
          <w:vertAlign w:val="baseline"/>
          <w:lang w:val="en-US"/>
        </w:rPr>
        <w:t xml:space="preserve">1 </w:t>
      </w:r>
      <w:r>
        <w:rPr>
          <w:rFonts w:ascii="Arial" w:hAnsi="Arial" w:eastAsia="Arial"/>
          <w:color w:val="000000"/>
          <w:spacing w:val="2"/>
          <w:w w:val="100"/>
          <w:sz w:val="24"/>
          <w:vertAlign w:val="baseline"/>
          <w:lang w:val="en-US"/>
        </w:rPr>
        <w:t xml:space="preserve">Subdivisions two and three of this section state:</w:t>
      </w:r>
    </w:p>
    <w:p>
      <w:pPr>
        <w:pageBreakBefore w:val="false"/>
        <w:spacing w:before="297" w:after="0" w:line="273"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 Such circumcision, excision, or infibulation is not a violation of this section if such act is:</w:t>
      </w:r>
    </w:p>
    <w:p>
      <w:pPr>
        <w:pageBreakBefore w:val="false"/>
        <w:numPr>
          <w:ilvl w:val="0"/>
          <w:numId w:val="1"/>
        </w:numPr>
        <w:tabs>
          <w:tab w:val="clear" w:pos="504"/>
          <w:tab w:val="left" w:pos="1224"/>
        </w:tabs>
        <w:spacing w:before="276" w:after="0" w:line="276"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to the health of the person on whom it is performed, and is performed by a person licensed in the place of its performance as a medical practitioner; or</w:t>
      </w:r>
    </w:p>
    <w:p>
      <w:pPr>
        <w:pageBreakBefore w:val="false"/>
        <w:numPr>
          <w:ilvl w:val="0"/>
          <w:numId w:val="1"/>
        </w:numPr>
        <w:tabs>
          <w:tab w:val="clear" w:pos="504"/>
          <w:tab w:val="left" w:pos="1224"/>
        </w:tabs>
        <w:spacing w:before="275" w:after="0" w:line="277"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performed on a person in labor or who has just given birth and is performed for medical purposes connected with that labor or birth by a person licensed in the place it is performed as a medical practitioner, midwife, or person in training to become such a practitioner or midwife.</w:t>
      </w:r>
    </w:p>
    <w:p>
      <w:pPr>
        <w:pageBreakBefore w:val="false"/>
        <w:spacing w:before="273" w:after="0" w:line="276" w:lineRule="exact"/>
        <w:ind w:right="0" w:left="0" w:firstLine="720"/>
        <w:jc w:val="both"/>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"3. For the purposes of paragraph (a) of subdivision two of this section, no account shall be taken of the effect on the person on whom such procedure is to be performed of any belief on the part of that or any other person that such procedure is required as a matter of custom or ritual."</w:t>
      </w:r>
    </w:p>
    <w:p>
      <w:pPr>
        <w:sectPr>
          <w:type w:val="nextPage"/>
          <w:pgSz w:w="12240" w:h="15840" w:orient="portrait"/>
          <w:pgMar w:bottom="1584" w:top="1440" w:right="2140" w:left="2160"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is consenting to such circumcision, excision or infibulation.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4"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knowledge by the defendant of the age of the child is not an element of this crime, and it is not a defense to a prosecution for this crime that the defendant did not know the age of the child or believed such age to be eighteen or greater.</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2"/>
        </w:numPr>
        <w:tabs>
          <w:tab w:val="clear" w:pos="720"/>
          <w:tab w:val="left" w:pos="1440"/>
        </w:tabs>
        <w:spacing w:before="329"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(defendant's name),</w:t>
      </w:r>
      <w:r>
        <w:rPr>
          <w:rFonts w:ascii="Arial" w:hAnsi="Arial" w:eastAsia="Arial"/>
          <w:color w:val="000000"/>
          <w:spacing w:val="0"/>
          <w:w w:val="100"/>
          <w:sz w:val="28"/>
          <w:vertAlign w:val="baseline"/>
          <w:lang w:val="en-US"/>
        </w:rPr>
        <w:t xml:space="preserve"> was the parent, guardian or other person legally responsible and charged with the care or custody of (</w:t>
      </w:r>
      <w:r>
        <w:rPr>
          <w:rFonts w:ascii="Arial" w:hAnsi="Arial" w:eastAsia="Arial"/>
          <w:i w:val="true"/>
          <w:color w:val="000000"/>
          <w:spacing w:val="0"/>
          <w:w w:val="100"/>
          <w:sz w:val="28"/>
          <w:u w:val="single"/>
          <w:vertAlign w:val="baseline"/>
          <w:lang w:val="en-US"/>
        </w:rPr>
        <w:t xml:space="preserve">specity</w:t>
      </w:r>
      <w:r>
        <w:rPr>
          <w:rFonts w:ascii="Arial" w:hAnsi="Arial" w:eastAsia="Arial"/>
          <w:color w:val="000000"/>
          <w:spacing w:val="0"/>
          <w:w w:val="100"/>
          <w:sz w:val="28"/>
          <w:vertAlign w:val="baseline"/>
          <w:lang w:val="en-US"/>
        </w:rPr>
        <w:t xml:space="preserve">);</w:t>
      </w:r>
    </w:p>
    <w:p>
      <w:pPr>
        <w:pageBreakBefore w:val="false"/>
        <w:numPr>
          <w:ilvl w:val="0"/>
          <w:numId w:val="2"/>
        </w:numPr>
        <w:tabs>
          <w:tab w:val="clear" w:pos="720"/>
          <w:tab w:val="left" w:pos="1440"/>
        </w:tabs>
        <w:spacing w:before="327"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a child less than eighteen years old;</w:t>
      </w:r>
    </w:p>
    <w:p>
      <w:pPr>
        <w:pageBreakBefore w:val="false"/>
        <w:numPr>
          <w:ilvl w:val="0"/>
          <w:numId w:val="2"/>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consented to the circumcision, excision or infibulation of whole or part of such child's labia majora or labia minora or clitoris; and</w:t>
      </w:r>
    </w:p>
    <w:p>
      <w:pPr>
        <w:pageBreakBefore w:val="false"/>
        <w:numPr>
          <w:ilvl w:val="0"/>
          <w:numId w:val="2"/>
        </w:numPr>
        <w:tabs>
          <w:tab w:val="clear" w:pos="720"/>
          <w:tab w:val="left" w:pos="1440"/>
        </w:tabs>
        <w:spacing w:before="332" w:after="0" w:line="31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90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 w:after="262" w:line="562" w:lineRule="exact"/>
        <w:ind w:right="0" w:left="288" w:firstLine="72"/>
        <w:jc w:val="left"/>
        <w:textAlignment w:val="baseline"/>
        <w:rPr>
          <w:rFonts w:ascii="Arial" w:hAnsi="Arial" w:eastAsia="Arial"/>
          <w:color w:val="000000"/>
          <w:spacing w:val="0"/>
          <w:w w:val="100"/>
          <w:sz w:val="17"/>
          <w:vertAlign w:val="baseline"/>
          <w:lang w:val="en-US"/>
        </w:rPr>
      </w:pPr>
      <w:r>
        <w:pict>
          <v:line strokeweight="0.95pt" strokecolor="#000000" from="108pt,636.7pt" to="252.05pt,636.7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See Penal Law § 15.05(2).</w:t>
        <w:br/>
      </w:r>
      <w:r>
        <w:rPr>
          <w:rFonts w:ascii="Arial" w:hAnsi="Arial" w:eastAsia="Arial"/>
          <w:color w:val="000000"/>
          <w:spacing w:val="0"/>
          <w:w w:val="100"/>
          <w:sz w:val="17"/>
          <w:vertAlign w:val="superscript"/>
          <w:lang w:val="en-US"/>
        </w:rPr>
        <w:t xml:space="preserve">3</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15.20(3).</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1024" w:top="140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quot;(%1)"/>
      <w:pPr>
        <w:tabs>
          <w:tab w:val="left" w:pos="504"/>
        </w:tabs>
      </w:pPr>
      <w:rPr>
        <w:rFonts w:ascii="Arial" w:hAnsi="Arial" w:eastAsia="Arial"/>
        <w:color w:val="000000"/>
        <w:spacing w:val="0"/>
        <w:w w:val="100"/>
        <w:sz w:val="24"/>
        <w:vertAlign w:val="baseline"/>
        <w:lang w:val="en-US"/>
      </w:rPr>
    </w:lvl>
  </w:abstractNum>
  <w:abstractNum w:abstractNumId="2">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