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358" w:line="38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Depraved Indifference Murder (PL § 125.25[4])and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Reckless Manslaughter (PL § 125.20[4]) Explained </w: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0"/>
          <w:w w:val="100"/>
          <w:sz w:val="16"/>
          <w:vertAlign w:val="baseline"/>
          <w:lang w:val="en-US"/>
        </w:rPr>
        <w:t xml:space="preserve">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(Death of Child)</w:t>
      </w:r>
    </w:p>
    <w:p>
      <w:pPr>
        <w:pageBreakBefore w:val="false"/>
        <w:spacing w:before="450" w:after="363" w:line="371" w:lineRule="exact"/>
        <w:ind w:right="720" w:left="144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1.2pt" strokecolor="#000000" from="231.85pt,149.3pt" to="380.45pt,149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The trial court may be well advised to give the following instruction immediately after defining the crimes of depraved indifference murder of a child and manslaughter of a child.</w:t>
      </w:r>
    </w:p>
    <w:p>
      <w:pPr>
        <w:pageBreakBefore w:val="false"/>
        <w:spacing w:before="439" w:after="0" w:line="40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2pt" strokecolor="#000000" from="227.75pt,264.25pt" to="384.3pt,264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Now, I will explain the difference between Murder (of a child) in the Second Degree and Manslaughter (of a child) in the First Degree.</w:t>
      </w:r>
    </w:p>
    <w:p>
      <w:pPr>
        <w:pageBreakBefore w:val="false"/>
        <w:spacing w:before="414" w:after="0" w:line="40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Both crimes require that the defendant, being 18 years old or more, recklessly engaged in conduct which created a grave risk of serious physical injury to a person less than eleven years old and thereby caused the death of such person.</w:t>
      </w:r>
    </w:p>
    <w:p>
      <w:pPr>
        <w:pageBreakBefore w:val="false"/>
        <w:spacing w:before="405" w:after="0" w:line="40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Murder (of a child) in the Second Degree, however, also requires that the defendant acted under circumstances evincing a depraved indifference to human life.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413" w:after="0" w:line="40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2pt" strokecolor="#000000" from="107.75pt,688.8pt" to="201.9pt,688.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Manslaughter (of a child) in the First Degree, on the other hand, does not require that the defendant also acted under circumstances evincing a depraved indifference to human life, but instead, requires that the defendant also acted with an intent to cause physical injury.</w:t>
      </w:r>
    </w:p>
    <w:p>
      <w:pPr>
        <w:sectPr>
          <w:type w:val="nextPage"/>
          <w:pgSz w:w="12240" w:h="15840" w:orient="portrait"/>
          <w:pgMar w:bottom="164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5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8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8"/>
          <w:w w:val="100"/>
          <w:sz w:val="24"/>
          <w:vertAlign w:val="baseline"/>
          <w:lang w:val="en-US"/>
        </w:rPr>
        <w:t xml:space="preserve">This charge applies to cases in which the court’s charge to the jury includes the offenses involving the death of a child , Penal Law § 125.25(4) and Penal Law § 125.20(4). A separate charge for cases involving depraved indifference murder in the second degree under Penal Law § 125.25(2) and reckless manslaughter in the second degree under Penal Law § 125.15(1) is located in the Additional Charges section.</w:t>
      </w:r>
    </w:p>
    <w:p>
      <w:pPr>
        <w:pageBreakBefore w:val="false"/>
        <w:numPr>
          <w:ilvl w:val="0"/>
          <w:numId w:val="2"/>
        </w:numPr>
        <w:tabs>
          <w:tab w:val="clear" w:pos="360"/>
          <w:tab w:val="left" w:pos="360"/>
        </w:tabs>
        <w:spacing w:before="177" w:after="9286" w:line="346" w:lineRule="exact"/>
        <w:ind w:right="0" w:left="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Feingold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7 N.Y.3d 288 (2006);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Suarez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6 N.Y.3d 202 (2006).</w:t>
      </w:r>
    </w:p>
    <w:p>
      <w:pPr>
        <w:spacing w:before="177" w:after="9286" w:line="346" w:lineRule="exact"/>
        <w:sectPr>
          <w:type w:val="nextPage"/>
          <w:pgSz w:w="12240" w:h="15840" w:orient="portrait"/>
          <w:pgMar w:bottom="1024" w:top="1460" w:right="2147" w:left="2153" w:header="720" w:footer="720"/>
          <w:titlePg w:val="false"/>
          <w:textDirection w:val="lrTb"/>
        </w:sectPr>
      </w:pPr>
    </w:p>
    <w:p>
      <w:pPr>
        <w:pageBreakBefore w:val="false"/>
        <w:spacing w:before="2" w:after="0" w:line="27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60" w:right="2154" w:left="214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432"/>
        </w:tabs>
      </w:pPr>
      <w:rPr>
        <w:rFonts w:ascii="Arial" w:hAnsi="Arial" w:eastAsia="Arial"/>
        <w:color w:val="000000"/>
        <w:spacing w:val="8"/>
        <w:w w:val="100"/>
        <w:sz w:val="24"/>
        <w:vertAlign w:val="baseline"/>
        <w:lang w:val="en-US"/>
      </w:rPr>
    </w:lvl>
  </w:abstractNum>
  <w:abstractNum w:abstractNumId="2">
    <w:lvl w:ilvl="0">
      <w:start w:val="0"/>
      <w:numFmt w:val="decimal"/>
      <w:lvlText w:val="%1."/>
      <w:pPr>
        <w:tabs>
          <w:tab w:val="left" w:pos="360"/>
        </w:tabs>
      </w:pPr>
      <w:rPr>
        <w:rFonts w:ascii="Arial" w:hAnsi="Arial" w:eastAsia="Arial"/>
        <w:i w:val="true"/>
        <w:color w:val="000000"/>
        <w:spacing w:val="0"/>
        <w:w w:val="100"/>
        <w:sz w:val="24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