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8983" w14:textId="77777777" w:rsidR="005F4321" w:rsidRPr="009A0D18" w:rsidRDefault="009A0D18">
      <w:pPr>
        <w:spacing w:line="330" w:lineRule="exact"/>
        <w:jc w:val="center"/>
        <w:textAlignment w:val="baseline"/>
        <w:rPr>
          <w:rFonts w:ascii="Arial" w:eastAsia="Arial" w:hAnsi="Arial"/>
          <w:b/>
          <w:color w:val="000000"/>
          <w:sz w:val="28"/>
        </w:rPr>
      </w:pPr>
      <w:r w:rsidRPr="009A0D18">
        <w:rPr>
          <w:rFonts w:ascii="Arial" w:eastAsia="Arial" w:hAnsi="Arial"/>
          <w:b/>
          <w:color w:val="000000"/>
          <w:sz w:val="28"/>
        </w:rPr>
        <w:t xml:space="preserve">MURDER FIRST DEGREE </w:t>
      </w:r>
      <w:r w:rsidRPr="009A0D18">
        <w:rPr>
          <w:rFonts w:ascii="Arial" w:eastAsia="Arial" w:hAnsi="Arial"/>
          <w:b/>
          <w:color w:val="000000"/>
          <w:sz w:val="28"/>
        </w:rPr>
        <w:br/>
        <w:t xml:space="preserve">(Intentional Murder of Judge) </w:t>
      </w:r>
      <w:r w:rsidRPr="009A0D18">
        <w:rPr>
          <w:rFonts w:ascii="Arial" w:eastAsia="Arial" w:hAnsi="Arial"/>
          <w:b/>
          <w:color w:val="000000"/>
          <w:sz w:val="28"/>
        </w:rPr>
        <w:br/>
        <w:t xml:space="preserve">Penal Law § 125.27(1)(a)(xii) </w:t>
      </w:r>
      <w:r w:rsidRPr="009A0D18">
        <w:rPr>
          <w:rFonts w:ascii="Arial" w:eastAsia="Arial" w:hAnsi="Arial"/>
          <w:b/>
          <w:color w:val="000000"/>
          <w:sz w:val="28"/>
        </w:rPr>
        <w:br/>
        <w:t>(Committed on or after Sept. 1, 1995)</w:t>
      </w:r>
    </w:p>
    <w:p w14:paraId="40283604" w14:textId="77777777" w:rsidR="005F4321" w:rsidRDefault="009A0D18">
      <w:pPr>
        <w:spacing w:before="647" w:line="328" w:lineRule="exact"/>
        <w:jc w:val="center"/>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Murder in the First Degree.</w:t>
      </w:r>
    </w:p>
    <w:p w14:paraId="61ACFF9B" w14:textId="77777777" w:rsidR="005F4321" w:rsidRDefault="009A0D18">
      <w:pPr>
        <w:spacing w:before="318"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defendant is guilty of Murder in the First Degree when, with intent to cause the death of another person, the defendant causes the death of such person, and the intended victim was a judge and the defendant killed such victim because such victim was, at the time of the killing, a judge, and the defendant was more than eighteen (18) years old at the time of the commission of the crime.</w:t>
      </w:r>
    </w:p>
    <w:p w14:paraId="44D6DA70" w14:textId="77777777" w:rsidR="005F4321" w:rsidRDefault="009A0D18">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186E191" w14:textId="77777777" w:rsidR="005F4321" w:rsidRDefault="009A0D18">
      <w:pPr>
        <w:spacing w:before="333" w:line="319"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 Thus, a person intends to cause the death of another person when his or her conscious objective or purpose is to cause the death of that person.</w:t>
      </w:r>
      <w:r>
        <w:rPr>
          <w:rFonts w:ascii="Arial" w:eastAsia="Arial" w:hAnsi="Arial"/>
          <w:color w:val="000000"/>
          <w:sz w:val="28"/>
          <w:vertAlign w:val="superscript"/>
        </w:rPr>
        <w:t>1</w:t>
      </w:r>
      <w:r>
        <w:rPr>
          <w:rFonts w:ascii="Arial" w:eastAsia="Arial" w:hAnsi="Arial"/>
          <w:color w:val="000000"/>
          <w:sz w:val="17"/>
        </w:rPr>
        <w:t xml:space="preserve"> </w:t>
      </w:r>
    </w:p>
    <w:p w14:paraId="2E883A37" w14:textId="77777777" w:rsidR="005F4321" w:rsidRDefault="009A0D18">
      <w:pPr>
        <w:spacing w:before="335" w:line="322" w:lineRule="exact"/>
        <w:ind w:firstLine="720"/>
        <w:jc w:val="both"/>
        <w:textAlignment w:val="baseline"/>
        <w:rPr>
          <w:rFonts w:ascii="Arial" w:eastAsia="Arial" w:hAnsi="Arial"/>
          <w:color w:val="000000"/>
          <w:sz w:val="28"/>
        </w:rPr>
      </w:pPr>
      <w:r>
        <w:rPr>
          <w:rFonts w:ascii="Arial" w:eastAsia="Arial" w:hAnsi="Arial"/>
          <w:color w:val="000000"/>
          <w:sz w:val="28"/>
        </w:rPr>
        <w:t>The term JUDGE means any judicial officer who is a member of or constitutes a court [whether referred to in another provision of law as a justice or by any other title].</w:t>
      </w:r>
      <w:r>
        <w:rPr>
          <w:rFonts w:ascii="Arial" w:eastAsia="Arial" w:hAnsi="Arial"/>
          <w:color w:val="000000"/>
          <w:sz w:val="28"/>
          <w:vertAlign w:val="superscript"/>
        </w:rPr>
        <w:t>2</w:t>
      </w:r>
      <w:r>
        <w:rPr>
          <w:rFonts w:ascii="Arial" w:eastAsia="Arial" w:hAnsi="Arial"/>
          <w:color w:val="000000"/>
          <w:sz w:val="17"/>
        </w:rPr>
        <w:t xml:space="preserve"> </w:t>
      </w:r>
    </w:p>
    <w:p w14:paraId="3B2E0ED9" w14:textId="77777777" w:rsidR="005F4321" w:rsidRDefault="009A0D18">
      <w:pPr>
        <w:spacing w:before="32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five elements:</w:t>
      </w:r>
    </w:p>
    <w:p w14:paraId="70FC6904" w14:textId="77777777" w:rsidR="005F4321" w:rsidRDefault="009A0D18">
      <w:pPr>
        <w:tabs>
          <w:tab w:val="right" w:pos="7920"/>
        </w:tabs>
        <w:spacing w:before="326" w:line="322"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w:t>
      </w:r>
    </w:p>
    <w:p w14:paraId="7F3EDFF1" w14:textId="533C7972" w:rsidR="00EE6E17" w:rsidRPr="00EE6E17" w:rsidRDefault="009A0D18">
      <w:pPr>
        <w:spacing w:after="433" w:line="324" w:lineRule="exact"/>
        <w:ind w:left="1440"/>
        <w:textAlignment w:val="baseline"/>
        <w:rPr>
          <w:rFonts w:ascii="Arial" w:eastAsia="Arial" w:hAnsi="Arial"/>
          <w:i/>
          <w:color w:val="000000"/>
          <w:sz w:val="23"/>
          <w:u w:val="single"/>
        </w:rPr>
      </w:pPr>
      <w:r>
        <w:rPr>
          <w:rFonts w:ascii="Arial" w:eastAsia="Arial" w:hAnsi="Arial"/>
          <w:color w:val="000000"/>
          <w:sz w:val="28"/>
        </w:rPr>
        <w:t xml:space="preserve">defendant, </w:t>
      </w:r>
      <w:r>
        <w:rPr>
          <w:rFonts w:ascii="Arial" w:eastAsia="Arial" w:hAnsi="Arial"/>
          <w:i/>
          <w:color w:val="000000"/>
          <w:sz w:val="23"/>
          <w:u w:val="single"/>
        </w:rPr>
        <w:t xml:space="preserve"> (defendant's name) </w:t>
      </w:r>
      <w:r>
        <w:rPr>
          <w:rFonts w:ascii="Arial" w:eastAsia="Arial" w:hAnsi="Arial"/>
          <w:color w:val="000000"/>
          <w:sz w:val="28"/>
        </w:rPr>
        <w:t xml:space="preserve"> , caused the death of </w:t>
      </w:r>
      <w:r>
        <w:rPr>
          <w:rFonts w:ascii="Arial" w:eastAsia="Arial" w:hAnsi="Arial"/>
          <w:i/>
          <w:color w:val="000000"/>
          <w:sz w:val="23"/>
          <w:u w:val="single"/>
        </w:rPr>
        <w:t>(specify)</w:t>
      </w:r>
      <w:r w:rsidR="00EE6E17">
        <w:rPr>
          <w:rFonts w:ascii="Arial" w:eastAsia="Arial" w:hAnsi="Arial"/>
          <w:i/>
          <w:color w:val="000000"/>
          <w:sz w:val="23"/>
          <w:u w:val="single"/>
        </w:rPr>
        <w:t>;</w:t>
      </w:r>
      <w:bookmarkStart w:id="0" w:name="_GoBack"/>
      <w:bookmarkEnd w:id="0"/>
    </w:p>
    <w:p w14:paraId="5ABC61FC" w14:textId="77777777" w:rsidR="005F4321" w:rsidRDefault="00EE6E17">
      <w:pPr>
        <w:spacing w:before="276" w:line="291" w:lineRule="exact"/>
        <w:ind w:firstLine="504"/>
        <w:jc w:val="both"/>
        <w:textAlignment w:val="baseline"/>
        <w:rPr>
          <w:rFonts w:ascii="Arial" w:eastAsia="Arial" w:hAnsi="Arial"/>
          <w:color w:val="000000"/>
          <w:sz w:val="17"/>
        </w:rPr>
      </w:pPr>
      <w:r>
        <w:pict w14:anchorId="052524BC">
          <v:line id="_x0000_s1026" style="position:absolute;left:0;text-align:left;z-index:251657728;mso-position-horizontal-relative:page;mso-position-vertical-relative:page" from="108pt,649.7pt" to="252.05pt,649.7pt" strokeweight="1.2pt">
            <w10:wrap anchorx="page" anchory="page"/>
          </v:line>
        </w:pict>
      </w:r>
      <w:r w:rsidR="009A0D18">
        <w:rPr>
          <w:rFonts w:ascii="Arial" w:eastAsia="Arial" w:hAnsi="Arial"/>
          <w:color w:val="000000"/>
          <w:sz w:val="17"/>
        </w:rPr>
        <w:t xml:space="preserve">1 </w:t>
      </w:r>
      <w:r w:rsidR="009A0D18">
        <w:rPr>
          <w:rFonts w:ascii="Arial" w:eastAsia="Arial" w:hAnsi="Arial"/>
          <w:i/>
          <w:color w:val="000000"/>
        </w:rPr>
        <w:t xml:space="preserve">See </w:t>
      </w:r>
      <w:r w:rsidR="009A0D18">
        <w:rPr>
          <w:rFonts w:ascii="Arial" w:eastAsia="Arial" w:hAnsi="Arial"/>
          <w:color w:val="000000"/>
          <w:sz w:val="23"/>
        </w:rPr>
        <w:t xml:space="preserve">Penal Law § 15.05 (1). </w:t>
      </w:r>
      <w:r w:rsidR="009A0D18">
        <w:rPr>
          <w:rFonts w:ascii="Arial" w:eastAsia="Arial" w:hAnsi="Arial"/>
          <w:color w:val="000000"/>
          <w:sz w:val="24"/>
        </w:rPr>
        <w:t>For an expanded charge on intent, see General Charges, Culpable Mental States, Intent.</w:t>
      </w:r>
    </w:p>
    <w:p w14:paraId="0807F67D" w14:textId="77777777" w:rsidR="005F4321" w:rsidRDefault="009A0D18">
      <w:pPr>
        <w:spacing w:before="254" w:line="293" w:lineRule="exact"/>
        <w:ind w:left="360"/>
        <w:textAlignment w:val="baseline"/>
        <w:rPr>
          <w:rFonts w:ascii="Arial" w:eastAsia="Arial" w:hAnsi="Arial"/>
          <w:color w:val="000000"/>
          <w:sz w:val="17"/>
        </w:rPr>
      </w:pPr>
      <w:r>
        <w:rPr>
          <w:rFonts w:ascii="Arial" w:eastAsia="Arial" w:hAnsi="Arial"/>
          <w:color w:val="000000"/>
          <w:sz w:val="17"/>
        </w:rPr>
        <w:t xml:space="preserve">2 </w:t>
      </w:r>
      <w:r>
        <w:rPr>
          <w:rFonts w:ascii="Arial" w:eastAsia="Arial" w:hAnsi="Arial"/>
          <w:color w:val="000000"/>
          <w:sz w:val="23"/>
        </w:rPr>
        <w:t>CPL § 1.20 (23).</w:t>
      </w:r>
    </w:p>
    <w:p w14:paraId="3487C924" w14:textId="77777777" w:rsidR="005F4321" w:rsidRDefault="005F4321">
      <w:pPr>
        <w:sectPr w:rsidR="005F4321">
          <w:pgSz w:w="12240" w:h="15840"/>
          <w:pgMar w:top="1180" w:right="2140" w:bottom="1004" w:left="2160" w:header="720" w:footer="720" w:gutter="0"/>
          <w:cols w:space="720"/>
        </w:sectPr>
      </w:pPr>
    </w:p>
    <w:p w14:paraId="583C389A" w14:textId="77777777" w:rsidR="005F4321" w:rsidRDefault="009A0D18">
      <w:pPr>
        <w:numPr>
          <w:ilvl w:val="0"/>
          <w:numId w:val="1"/>
        </w:numPr>
        <w:tabs>
          <w:tab w:val="clear" w:pos="720"/>
          <w:tab w:val="left" w:pos="1440"/>
        </w:tabs>
        <w:spacing w:before="10" w:line="327" w:lineRule="exact"/>
        <w:ind w:left="1440" w:hanging="720"/>
        <w:jc w:val="both"/>
        <w:textAlignment w:val="baseline"/>
        <w:rPr>
          <w:rFonts w:ascii="Arial" w:eastAsia="Arial" w:hAnsi="Arial"/>
          <w:color w:val="000000"/>
          <w:sz w:val="28"/>
        </w:rPr>
      </w:pPr>
      <w:r>
        <w:rPr>
          <w:rFonts w:ascii="Arial" w:eastAsia="Arial" w:hAnsi="Arial"/>
          <w:color w:val="000000"/>
          <w:sz w:val="28"/>
        </w:rPr>
        <w:lastRenderedPageBreak/>
        <w:t xml:space="preserve">That the defendant did so with the intent to cause the death of </w:t>
      </w:r>
      <w:r>
        <w:rPr>
          <w:rFonts w:ascii="Arial" w:eastAsia="Arial" w:hAnsi="Arial"/>
          <w:i/>
          <w:color w:val="000000"/>
          <w:sz w:val="23"/>
          <w:u w:val="single"/>
        </w:rPr>
        <w:t xml:space="preserve"> (specify) </w:t>
      </w:r>
      <w:r>
        <w:rPr>
          <w:rFonts w:ascii="Arial" w:eastAsia="Arial" w:hAnsi="Arial"/>
          <w:color w:val="000000"/>
          <w:sz w:val="28"/>
        </w:rPr>
        <w:t xml:space="preserve"> ;</w:t>
      </w:r>
    </w:p>
    <w:p w14:paraId="19545393" w14:textId="77777777" w:rsidR="005F4321" w:rsidRDefault="009A0D18">
      <w:pPr>
        <w:numPr>
          <w:ilvl w:val="0"/>
          <w:numId w:val="2"/>
        </w:numPr>
        <w:tabs>
          <w:tab w:val="clear" w:pos="720"/>
          <w:tab w:val="left" w:pos="1440"/>
        </w:tabs>
        <w:spacing w:before="320"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at the time of the killing, </w:t>
      </w:r>
      <w:r>
        <w:rPr>
          <w:rFonts w:ascii="Arial" w:eastAsia="Arial" w:hAnsi="Arial"/>
          <w:i/>
          <w:color w:val="000000"/>
          <w:sz w:val="23"/>
          <w:u w:val="single"/>
        </w:rPr>
        <w:t xml:space="preserve"> (specify) </w:t>
      </w:r>
      <w:r>
        <w:rPr>
          <w:rFonts w:ascii="Arial" w:eastAsia="Arial" w:hAnsi="Arial"/>
          <w:color w:val="000000"/>
          <w:sz w:val="28"/>
        </w:rPr>
        <w:t xml:space="preserve"> was a judge;</w:t>
      </w:r>
    </w:p>
    <w:p w14:paraId="5316E9E5" w14:textId="77777777" w:rsidR="005F4321" w:rsidRDefault="009A0D18">
      <w:pPr>
        <w:numPr>
          <w:ilvl w:val="0"/>
          <w:numId w:val="2"/>
        </w:numPr>
        <w:tabs>
          <w:tab w:val="clear" w:pos="720"/>
          <w:tab w:val="left" w:pos="1440"/>
        </w:tabs>
        <w:spacing w:before="332"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defendant killed </w:t>
      </w:r>
      <w:r>
        <w:rPr>
          <w:rFonts w:ascii="Arial" w:eastAsia="Arial" w:hAnsi="Arial"/>
          <w:i/>
          <w:color w:val="000000"/>
          <w:sz w:val="23"/>
          <w:u w:val="single"/>
        </w:rPr>
        <w:t xml:space="preserve"> (specify) </w:t>
      </w:r>
      <w:r>
        <w:rPr>
          <w:rFonts w:ascii="Arial" w:eastAsia="Arial" w:hAnsi="Arial"/>
          <w:color w:val="000000"/>
          <w:sz w:val="28"/>
        </w:rPr>
        <w:t xml:space="preserve"> because he/she was, at the time of the killing, a judge; and</w:t>
      </w:r>
    </w:p>
    <w:p w14:paraId="3117D893" w14:textId="77777777" w:rsidR="005F4321" w:rsidRDefault="009A0D18">
      <w:pPr>
        <w:numPr>
          <w:ilvl w:val="0"/>
          <w:numId w:val="2"/>
        </w:numPr>
        <w:tabs>
          <w:tab w:val="clear" w:pos="720"/>
          <w:tab w:val="left" w:pos="1440"/>
        </w:tabs>
        <w:spacing w:before="326" w:line="322" w:lineRule="exact"/>
        <w:ind w:left="1440" w:hanging="720"/>
        <w:jc w:val="both"/>
        <w:textAlignment w:val="baseline"/>
        <w:rPr>
          <w:rFonts w:ascii="Arial" w:eastAsia="Arial" w:hAnsi="Arial"/>
          <w:color w:val="000000"/>
          <w:spacing w:val="-1"/>
          <w:sz w:val="28"/>
        </w:rPr>
      </w:pPr>
      <w:r>
        <w:rPr>
          <w:rFonts w:ascii="Arial" w:eastAsia="Arial" w:hAnsi="Arial"/>
          <w:color w:val="000000"/>
          <w:spacing w:val="-1"/>
          <w:sz w:val="28"/>
        </w:rPr>
        <w:t>That the defendant was more than eighteen (18) years old at the time of the commission of the crime.</w:t>
      </w:r>
    </w:p>
    <w:p w14:paraId="7ADC45D5" w14:textId="77777777" w:rsidR="005F4321" w:rsidRDefault="009A0D18">
      <w:pPr>
        <w:spacing w:before="323"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F6FF2B0" w14:textId="77777777" w:rsidR="005F4321" w:rsidRDefault="009A0D18">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34BE42F3" w14:textId="77777777" w:rsidR="005F4321" w:rsidRDefault="009A0D18">
      <w:pPr>
        <w:spacing w:before="329" w:after="5510" w:line="321" w:lineRule="exact"/>
        <w:jc w:val="both"/>
        <w:textAlignment w:val="baseline"/>
        <w:rPr>
          <w:rFonts w:ascii="Arial" w:eastAsia="Arial" w:hAnsi="Arial"/>
          <w:i/>
          <w:color w:val="000000"/>
          <w:spacing w:val="-2"/>
          <w:sz w:val="28"/>
        </w:rPr>
      </w:pPr>
      <w:r>
        <w:rPr>
          <w:rFonts w:ascii="Arial" w:eastAsia="Arial" w:hAnsi="Arial"/>
          <w:i/>
          <w:color w:val="000000"/>
          <w:spacing w:val="-2"/>
          <w:sz w:val="28"/>
        </w:rPr>
        <w:t>[NOTE: If either of the affirmative defenses -- Extreme Emotional Disturbance (§ 125.27(2)(a)) or Aiding a Suicide (§ 125.27(2)(b)) -- applies, omit the final two paragraphs of the above charge, and substitute one of the charges at the end of this article.]</w:t>
      </w:r>
    </w:p>
    <w:p w14:paraId="021B253F" w14:textId="77777777" w:rsidR="005F4321" w:rsidRDefault="005F4321">
      <w:pPr>
        <w:spacing w:before="329" w:after="5510" w:line="321" w:lineRule="exact"/>
        <w:sectPr w:rsidR="005F4321">
          <w:pgSz w:w="12240" w:h="15840"/>
          <w:pgMar w:top="1160" w:right="2134" w:bottom="1024" w:left="2158" w:header="720" w:footer="720" w:gutter="0"/>
          <w:cols w:space="720"/>
        </w:sectPr>
      </w:pPr>
    </w:p>
    <w:p w14:paraId="66708181" w14:textId="77777777" w:rsidR="005F4321" w:rsidRDefault="009A0D18">
      <w:pPr>
        <w:spacing w:before="3" w:line="273" w:lineRule="exact"/>
        <w:jc w:val="center"/>
        <w:textAlignment w:val="baseline"/>
        <w:rPr>
          <w:rFonts w:eastAsia="Times New Roman"/>
          <w:color w:val="000000"/>
          <w:spacing w:val="16"/>
          <w:sz w:val="24"/>
        </w:rPr>
      </w:pPr>
      <w:r>
        <w:rPr>
          <w:rFonts w:eastAsia="Times New Roman"/>
          <w:color w:val="000000"/>
          <w:spacing w:val="16"/>
          <w:sz w:val="24"/>
        </w:rPr>
        <w:t>125-2</w:t>
      </w:r>
    </w:p>
    <w:sectPr w:rsidR="005F4321">
      <w:type w:val="continuous"/>
      <w:pgSz w:w="12240" w:h="15840"/>
      <w:pgMar w:top="1160" w:right="2142" w:bottom="1024" w:left="2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362"/>
    <w:multiLevelType w:val="multilevel"/>
    <w:tmpl w:val="523E64DE"/>
    <w:lvl w:ilvl="0">
      <w:start w:val="2"/>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165D4C"/>
    <w:multiLevelType w:val="multilevel"/>
    <w:tmpl w:val="FB745154"/>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F4321"/>
    <w:rsid w:val="005F4321"/>
    <w:rsid w:val="009A0D18"/>
    <w:rsid w:val="00E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B33E4"/>
  <w15:docId w15:val="{0BC66F1B-A3B7-408A-8084-6EE31DE9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4</cp:revision>
  <dcterms:created xsi:type="dcterms:W3CDTF">2018-07-14T16:51:00Z</dcterms:created>
  <dcterms:modified xsi:type="dcterms:W3CDTF">2018-07-14T17:18:00Z</dcterms:modified>
</cp:coreProperties>
</file>