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33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CRIMINALLY NEGLIGENT HOMICIDE</w:t>
        <w:br/>
      </w:r>
      <w:r>
        <w:rPr>
          <w:rFonts w:ascii="Arial" w:hAnsi="Arial" w:eastAsia="Arial"/>
          <w:b w:val="true"/>
          <w:color w:val="000000"/>
          <w:spacing w:val="0"/>
          <w:w w:val="100"/>
          <w:sz w:val="28"/>
          <w:vertAlign w:val="baseline"/>
          <w:lang w:val="en-US"/>
        </w:rPr>
        <w:t xml:space="preserve">PENAL LAW 125.11</w:t>
        <w:br/>
      </w:r>
      <w:r>
        <w:rPr>
          <w:rFonts w:ascii="Arial" w:hAnsi="Arial" w:eastAsia="Arial"/>
          <w:b w:val="true"/>
          <w:color w:val="000000"/>
          <w:spacing w:val="0"/>
          <w:w w:val="100"/>
          <w:sz w:val="28"/>
          <w:vertAlign w:val="baseline"/>
          <w:lang w:val="en-US"/>
        </w:rPr>
        <w:t xml:space="preserve">(Committed on or after Dec. 21, 2005)</w:t>
        <w:br/>
      </w:r>
      <w:r>
        <w:rPr>
          <w:rFonts w:ascii="Arial" w:hAnsi="Arial" w:eastAsia="Arial"/>
          <w:b w:val="true"/>
          <w:color w:val="000000"/>
          <w:spacing w:val="0"/>
          <w:w w:val="100"/>
          <w:sz w:val="28"/>
          <w:vertAlign w:val="baseline"/>
          <w:lang w:val="en-US"/>
        </w:rPr>
        <w:t xml:space="preserve">Revised April 2018</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33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count is Aggravated Criminally Negligent Homicide.</w:t>
      </w:r>
    </w:p>
    <w:p>
      <w:pPr>
        <w:pageBreakBefore w:val="false"/>
        <w:spacing w:before="33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Criminally Negligent Homicide when, with criminal negligence, he or she causes the death of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where such officer was in the course of performing his or her official duties and the defendant knew or reasonably should have known that such victim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w:t>
      </w:r>
    </w:p>
    <w:p>
      <w:pPr>
        <w:pageBreakBefore w:val="false"/>
        <w:spacing w:before="346" w:after="0" w:line="30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8"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acts with CRIMINAL NEGLIGENCE with respect to a death when</w:t>
      </w:r>
    </w:p>
    <w:p>
      <w:pPr>
        <w:pageBreakBefore w:val="false"/>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person engages in conduct which creates or contributes to a substantial and unjustifiable risk that another person's death will occur,</w:t>
      </w:r>
    </w:p>
    <w:p>
      <w:pPr>
        <w:pageBreakBefore w:val="false"/>
        <w:spacing w:before="329" w:after="0" w:line="319"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when he or she fails to perceive that risk,</w:t>
      </w:r>
    </w:p>
    <w:p>
      <w:pPr>
        <w:pageBreakBefore w:val="false"/>
        <w:spacing w:before="324" w:after="484" w:line="324" w:lineRule="exact"/>
        <w:ind w:right="0" w:left="720" w:firstLine="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and when that risk is of such nature and degree that failure to perceive it constitutes a gross deviation from the standard of care that a reasonable person would observe in</w:t>
      </w:r>
    </w:p>
    <w:p>
      <w:pPr>
        <w:pageBreakBefore w:val="false"/>
        <w:spacing w:before="267" w:after="0" w:line="276" w:lineRule="exact"/>
        <w:ind w:right="0" w:left="0" w:firstLine="288"/>
        <w:jc w:val="both"/>
        <w:textAlignment w:val="baseline"/>
        <w:rPr>
          <w:rFonts w:ascii="Times New Roman" w:hAnsi="Times New Roman" w:eastAsia="Times New Roman"/>
          <w:color w:val="000000"/>
          <w:spacing w:val="0"/>
          <w:w w:val="100"/>
          <w:sz w:val="14"/>
          <w:vertAlign w:val="superscript"/>
          <w:lang w:val="en-US"/>
        </w:rPr>
      </w:pPr>
      <w:r>
        <w:pict>
          <v:line strokeweight="1.2pt" strokecolor="#000000" from="108pt,585.1pt" to="252.05pt,585.1pt" style="position:absolute;mso-position-horizontal-relative:page;mso-position-vertical-relative:page;">
            <v:stroke dashstyle="solid"/>
          </v:line>
        </w:pict>
      </w:r>
      <w:r>
        <w:rPr>
          <w:rFonts w:ascii="Times New Roman" w:hAnsi="Times New Roman" w:eastAsia="Times New Roman"/>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The 2018 revision was to move the opening paragraph of the definition of "criminal negligence" to the end of the definition and otherwise conform it to the same paragraph in the charge for "criminally neglient homicide" (Penal Law § 125.10).</w:t>
      </w:r>
    </w:p>
    <w:p>
      <w:pPr>
        <w:pageBreakBefore w:val="false"/>
        <w:spacing w:before="240" w:after="0" w:line="276" w:lineRule="exact"/>
        <w:ind w:right="0" w:left="0" w:firstLine="144"/>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If causation or “death” is in issue, see Additional Charges at the end of this article. Additionally, if the status of the deceased as a police or peace officer is at issue, refer to the definitions of “police officer” set forth in CPL § 1.20(34) and of “peace officer” set forth in CPL § 2.10.</w:t>
      </w:r>
    </w:p>
    <w:p>
      <w:pPr>
        <w:sectPr>
          <w:type w:val="nextPage"/>
          <w:pgSz w:w="12240" w:h="15840" w:orient="portrait"/>
          <w:pgMar w:bottom="1024" w:top="1440" w:right="2140" w:left="2160" w:header="720" w:footer="720"/>
          <w:titlePg w:val="false"/>
          <w:textDirection w:val="lrTb"/>
        </w:sectPr>
      </w:pPr>
    </w:p>
    <w:p>
      <w:pPr>
        <w:pageBreakBefore w:val="false"/>
        <w:spacing w:before="31" w:after="0" w:line="324" w:lineRule="exact"/>
        <w:ind w:right="0" w:left="720" w:firstLine="0"/>
        <w:jc w:val="left"/>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the situation.</w:t>
      </w:r>
      <w:r>
        <w:rPr>
          <w:rFonts w:ascii="Arial" w:hAnsi="Arial" w:eastAsia="Arial"/>
          <w:color w:val="000000"/>
          <w:spacing w:val="-3"/>
          <w:w w:val="100"/>
          <w:sz w:val="28"/>
          <w:vertAlign w:val="superscript"/>
          <w:lang w:val="en-US"/>
        </w:rPr>
        <w:t xml:space="preserve">3</w:t>
      </w:r>
      <w:r>
        <w:rPr>
          <w:rFonts w:ascii="Arial" w:hAnsi="Arial" w:eastAsia="Arial"/>
          <w:color w:val="000000"/>
          <w:spacing w:val="-3"/>
          <w:w w:val="100"/>
          <w:sz w:val="17"/>
          <w:vertAlign w:val="baseline"/>
          <w:lang w:val="en-US"/>
        </w:rPr>
        <w:t xml:space="preserve">
</w:t>
      </w:r>
    </w:p>
    <w:p>
      <w:pPr>
        <w:pageBreakBefore w:val="false"/>
        <w:spacing w:before="33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You may notice from that definition that CRIMINAL NEGLIGENCE is not the same type of negligence you may be familiar with from a civil lawsuit seeking a money judgment. The carelessness required for criminal negligence is appreciably more serious; it must be such that its seriousness would be apparent to anyone who shares the community's general sense of right and wrong.</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REASONABLY SHOULD HAVE KNOWN that the victim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if, in the same circumstances, a reasonable person in the same position and possessing the same knowledge would have known that the victim 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is engaged in the course of performing his or her OFFICIAL DUTIES when he or she is acting pursuant to his or her occupation 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rather than as a private citizen.</w:t>
      </w:r>
      <w:r>
        <w:rPr>
          <w:rFonts w:ascii="Arial" w:hAnsi="Arial" w:eastAsia="Arial"/>
          <w:color w:val="000000"/>
          <w:spacing w:val="0"/>
          <w:w w:val="100"/>
          <w:sz w:val="28"/>
          <w:vertAlign w:val="superscript"/>
          <w:lang w:val="en-US"/>
        </w:rPr>
        <w:t xml:space="preserve">5</w:t>
      </w:r>
      <w:r>
        <w:rPr>
          <w:rFonts w:ascii="Arial" w:hAnsi="Arial" w:eastAsia="Arial"/>
          <w:color w:val="000000"/>
          <w:spacing w:val="0"/>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3"/>
          <w:vertAlign w:val="baseline"/>
          <w:lang w:val="en-US"/>
        </w:rPr>
        <w:t xml:space="preserve">(</w:t>
      </w:r>
      <w:r>
        <w:rPr>
          <w:rFonts w:ascii="Arial" w:hAnsi="Arial" w:eastAsia="Arial"/>
          <w:i w:val="true"/>
          <w:color w:val="000000"/>
          <w:spacing w:val="0"/>
          <w:w w:val="100"/>
          <w:sz w:val="23"/>
          <w:u w:val="single"/>
          <w:vertAlign w:val="baseline"/>
          <w:lang w:val="en-US"/>
        </w:rPr>
        <w:t xml:space="preserve">date</w:t>
      </w:r>
      <w:r>
        <w:rPr>
          <w:rFonts w:ascii="Arial" w:hAnsi="Arial" w:eastAsia="Arial"/>
          <w:color w:val="000000"/>
          <w:spacing w:val="0"/>
          <w:w w:val="100"/>
          <w:sz w:val="23"/>
          <w:vertAlign w:val="baseline"/>
          <w:lang w:val="en-US"/>
        </w:rPr>
        <w:t xml:space="preserve">)</w:t>
      </w:r>
      <w:r>
        <w:rPr>
          <w:rFonts w:ascii="Arial" w:hAnsi="Arial" w:eastAsia="Arial"/>
          <w:color w:val="000000"/>
          <w:spacing w:val="0"/>
          <w:w w:val="100"/>
          <w:sz w:val="28"/>
          <w:vertAlign w:val="baseline"/>
          <w:lang w:val="en-US"/>
        </w:rPr>
        <w:t xml:space="preserve">, in the county of </w:t>
      </w:r>
      <w:r>
        <w:rPr>
          <w:rFonts w:ascii="Arial" w:hAnsi="Arial" w:eastAsia="Arial"/>
          <w:color w:val="000000"/>
          <w:spacing w:val="0"/>
          <w:w w:val="100"/>
          <w:sz w:val="23"/>
          <w:vertAlign w:val="baseline"/>
          <w:lang w:val="en-US"/>
        </w:rPr>
        <w:t xml:space="preserve">(</w:t>
      </w:r>
      <w:r>
        <w:rPr>
          <w:rFonts w:ascii="Arial" w:hAnsi="Arial" w:eastAsia="Arial"/>
          <w:i w:val="true"/>
          <w:color w:val="000000"/>
          <w:spacing w:val="0"/>
          <w:w w:val="100"/>
          <w:sz w:val="23"/>
          <w:u w:val="single"/>
          <w:vertAlign w:val="baseline"/>
          <w:lang w:val="en-US"/>
        </w:rPr>
        <w:t xml:space="preserve">county</w:t>
      </w:r>
      <w:r>
        <w:rPr>
          <w:rFonts w:ascii="Arial" w:hAnsi="Arial" w:eastAsia="Arial"/>
          <w:color w:val="000000"/>
          <w:spacing w:val="0"/>
          <w:w w:val="100"/>
          <w:sz w:val="23"/>
          <w:vertAlign w:val="baseline"/>
          <w:lang w:val="en-US"/>
        </w:rPr>
        <w:t xml:space="preserve">)</w:t>
      </w:r>
      <w:r>
        <w:rPr>
          <w:rFonts w:ascii="Arial" w:hAnsi="Arial" w:eastAsia="Arial"/>
          <w:color w:val="000000"/>
          <w:spacing w:val="0"/>
          <w:w w:val="100"/>
          <w:sz w:val="28"/>
          <w:vertAlign w:val="baseline"/>
          <w:lang w:val="en-US"/>
        </w:rPr>
        <w:t xml:space="preserve">, the defendant, </w:t>
      </w:r>
      <w:r>
        <w:rPr>
          <w:rFonts w:ascii="Arial" w:hAnsi="Arial" w:eastAsia="Arial"/>
          <w:color w:val="000000"/>
          <w:spacing w:val="0"/>
          <w:w w:val="100"/>
          <w:sz w:val="23"/>
          <w:vertAlign w:val="baseline"/>
          <w:lang w:val="en-US"/>
        </w:rPr>
        <w:t xml:space="preserve">(</w:t>
      </w:r>
      <w:r>
        <w:rPr>
          <w:rFonts w:ascii="Arial" w:hAnsi="Arial" w:eastAsia="Arial"/>
          <w:i w:val="true"/>
          <w:color w:val="000000"/>
          <w:spacing w:val="0"/>
          <w:w w:val="100"/>
          <w:sz w:val="23"/>
          <w:u w:val="single"/>
          <w:vertAlign w:val="baseline"/>
          <w:lang w:val="en-US"/>
        </w:rPr>
        <w:t xml:space="preserve">defendant’s name</w:t>
      </w:r>
      <w:r>
        <w:rPr>
          <w:rFonts w:ascii="Arial" w:hAnsi="Arial" w:eastAsia="Arial"/>
          <w:color w:val="000000"/>
          <w:spacing w:val="0"/>
          <w:w w:val="100"/>
          <w:sz w:val="23"/>
          <w:vertAlign w:val="baseline"/>
          <w:lang w:val="en-US"/>
        </w:rPr>
        <w:t xml:space="preserve">)</w:t>
      </w:r>
      <w:r>
        <w:rPr>
          <w:rFonts w:ascii="Arial" w:hAnsi="Arial" w:eastAsia="Arial"/>
          <w:color w:val="000000"/>
          <w:spacing w:val="0"/>
          <w:w w:val="100"/>
          <w:sz w:val="28"/>
          <w:vertAlign w:val="baseline"/>
          <w:lang w:val="en-US"/>
        </w:rPr>
        <w:t xml:space="preserve">, caused the death of </w:t>
      </w:r>
      <w:r>
        <w:rPr>
          <w:rFonts w:ascii="Arial" w:hAnsi="Arial" w:eastAsia="Arial"/>
          <w:color w:val="000000"/>
          <w:spacing w:val="0"/>
          <w:w w:val="100"/>
          <w:sz w:val="23"/>
          <w:vertAlign w:val="baseline"/>
          <w:lang w:val="en-US"/>
        </w:rPr>
        <w:t xml:space="preserve">(</w:t>
      </w:r>
      <w:r>
        <w:rPr>
          <w:rFonts w:ascii="Arial" w:hAnsi="Arial" w:eastAsia="Arial"/>
          <w:i w:val="true"/>
          <w:color w:val="000000"/>
          <w:spacing w:val="0"/>
          <w:w w:val="100"/>
          <w:sz w:val="23"/>
          <w:u w:val="single"/>
          <w:vertAlign w:val="baseline"/>
          <w:lang w:val="en-US"/>
        </w:rPr>
        <w:t xml:space="preserve">specify</w:t>
      </w:r>
      <w:r>
        <w:rPr>
          <w:rFonts w:ascii="Arial" w:hAnsi="Arial" w:eastAsia="Arial"/>
          <w:color w:val="000000"/>
          <w:spacing w:val="0"/>
          <w:w w:val="100"/>
          <w:sz w:val="23"/>
          <w:vertAlign w:val="baseline"/>
          <w:lang w:val="en-US"/>
        </w:rPr>
        <w:t xml:space="preserve">)</w:t>
      </w:r>
      <w:r>
        <w:rPr>
          <w:rFonts w:ascii="Arial" w:hAnsi="Arial" w:eastAsia="Arial"/>
          <w:color w:val="000000"/>
          <w:spacing w:val="0"/>
          <w:w w:val="100"/>
          <w:sz w:val="28"/>
          <w:vertAlign w:val="baseline"/>
          <w:lang w:val="en-US"/>
        </w:rPr>
        <w:t xml:space="preserve">;</w:t>
      </w:r>
    </w:p>
    <w:p>
      <w:pPr>
        <w:pageBreakBefore w:val="false"/>
        <w:numPr>
          <w:ilvl w:val="0"/>
          <w:numId w:val="1"/>
        </w:numPr>
        <w:tabs>
          <w:tab w:val="clear" w:pos="720"/>
          <w:tab w:val="left" w:pos="1440"/>
        </w:tabs>
        <w:spacing w:before="324" w:after="544"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criminal negligence;</w:t>
      </w:r>
    </w:p>
    <w:p>
      <w:pPr>
        <w:pageBreakBefore w:val="false"/>
        <w:spacing w:before="252" w:after="0" w:line="281" w:lineRule="exact"/>
        <w:ind w:right="0" w:left="0" w:firstLine="0"/>
        <w:jc w:val="center"/>
        <w:textAlignment w:val="baseline"/>
        <w:rPr>
          <w:rFonts w:ascii="Arial" w:hAnsi="Arial" w:eastAsia="Arial"/>
          <w:color w:val="000000"/>
          <w:spacing w:val="1"/>
          <w:w w:val="100"/>
          <w:sz w:val="14"/>
          <w:vertAlign w:val="superscript"/>
          <w:lang w:val="en-US"/>
        </w:rPr>
      </w:pPr>
      <w:r>
        <w:pict>
          <v:line strokeweight="1.2pt" strokecolor="#000000" from="107.4pt,586.3pt" to="252.05pt,586.3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3</w:t>
      </w:r>
      <w:r>
        <w:rPr>
          <w:rFonts w:ascii="Arial" w:hAnsi="Arial" w:eastAsia="Arial"/>
          <w:i w:val="true"/>
          <w:color w:val="000000"/>
          <w:spacing w:val="1"/>
          <w:w w:val="100"/>
          <w:sz w:val="24"/>
          <w:vertAlign w:val="baseline"/>
          <w:lang w:val="en-US"/>
        </w:rPr>
        <w:t xml:space="preserve"> See </w:t>
      </w:r>
      <w:r>
        <w:rPr>
          <w:rFonts w:ascii="Arial" w:hAnsi="Arial" w:eastAsia="Arial"/>
          <w:color w:val="000000"/>
          <w:spacing w:val="1"/>
          <w:w w:val="100"/>
          <w:sz w:val="24"/>
          <w:vertAlign w:val="baseline"/>
          <w:lang w:val="en-US"/>
        </w:rPr>
        <w:t xml:space="preserve">Penal Law § 15.05(4); </w:t>
      </w:r>
      <w:r>
        <w:rPr>
          <w:rFonts w:ascii="Arial" w:hAnsi="Arial" w:eastAsia="Arial"/>
          <w:i w:val="true"/>
          <w:color w:val="000000"/>
          <w:spacing w:val="1"/>
          <w:w w:val="100"/>
          <w:sz w:val="24"/>
          <w:vertAlign w:val="baseline"/>
          <w:lang w:val="en-US"/>
        </w:rPr>
        <w:t xml:space="preserve">People v. Boutin</w:t>
      </w:r>
      <w:r>
        <w:rPr>
          <w:rFonts w:ascii="Arial" w:hAnsi="Arial" w:eastAsia="Arial"/>
          <w:color w:val="000000"/>
          <w:spacing w:val="1"/>
          <w:w w:val="100"/>
          <w:sz w:val="24"/>
          <w:vertAlign w:val="baseline"/>
          <w:lang w:val="en-US"/>
        </w:rPr>
        <w:t xml:space="preserve">, 75 N.Y.2d 692 (1990).</w:t>
      </w:r>
    </w:p>
    <w:p>
      <w:pPr>
        <w:pageBreakBefore w:val="false"/>
        <w:spacing w:before="241" w:after="0" w:line="281" w:lineRule="exact"/>
        <w:ind w:right="0" w:left="288" w:firstLine="0"/>
        <w:jc w:val="left"/>
        <w:textAlignment w:val="baseline"/>
        <w:rPr>
          <w:rFonts w:ascii="Times New Roman" w:hAnsi="Times New Roman" w:eastAsia="Times New Roman"/>
          <w:color w:val="000000"/>
          <w:spacing w:val="1"/>
          <w:w w:val="100"/>
          <w:sz w:val="14"/>
          <w:vertAlign w:val="superscript"/>
          <w:lang w:val="en-US"/>
        </w:rPr>
      </w:pPr>
      <w:r>
        <w:rPr>
          <w:rFonts w:ascii="Times New Roman" w:hAnsi="Times New Roman" w:eastAsia="Times New Roman"/>
          <w:color w:val="000000"/>
          <w:spacing w:val="1"/>
          <w:w w:val="100"/>
          <w:sz w:val="14"/>
          <w:vertAlign w:val="superscript"/>
          <w:lang w:val="en-US"/>
        </w:rPr>
        <w:t xml:space="preserve">4</w:t>
      </w:r>
      <w:r>
        <w:rPr>
          <w:rFonts w:ascii="Arial" w:hAnsi="Arial" w:eastAsia="Arial"/>
          <w:color w:val="000000"/>
          <w:spacing w:val="1"/>
          <w:w w:val="100"/>
          <w:sz w:val="24"/>
          <w:vertAlign w:val="baseline"/>
          <w:lang w:val="en-US"/>
        </w:rPr>
        <w:t xml:space="preserve"> Cf. People v. Goetz, 68 N.Y.2d 96 (1986).</w:t>
      </w:r>
    </w:p>
    <w:p>
      <w:pPr>
        <w:pageBreakBefore w:val="false"/>
        <w:spacing w:before="230" w:after="0" w:line="281" w:lineRule="exact"/>
        <w:ind w:right="0" w:left="0" w:firstLine="432"/>
        <w:jc w:val="both"/>
        <w:textAlignment w:val="baseline"/>
        <w:rPr>
          <w:rFonts w:ascii="Times New Roman" w:hAnsi="Times New Roman" w:eastAsia="Times New Roman"/>
          <w:color w:val="000000"/>
          <w:spacing w:val="0"/>
          <w:w w:val="100"/>
          <w:sz w:val="14"/>
          <w:vertAlign w:val="superscript"/>
          <w:lang w:val="en-US"/>
        </w:rPr>
      </w:pPr>
      <w:r>
        <w:rPr>
          <w:rFonts w:ascii="Times New Roman" w:hAnsi="Times New Roman" w:eastAsia="Times New Roman"/>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 See People v. Davis</w:t>
      </w:r>
      <w:r>
        <w:rPr>
          <w:rFonts w:ascii="Arial" w:hAnsi="Arial" w:eastAsia="Arial"/>
          <w:color w:val="000000"/>
          <w:spacing w:val="0"/>
          <w:w w:val="100"/>
          <w:sz w:val="24"/>
          <w:vertAlign w:val="baseline"/>
          <w:lang w:val="en-US"/>
        </w:rPr>
        <w:t xml:space="preserve">, 43 N.Y.2d 17 (1977); </w:t>
      </w:r>
      <w:r>
        <w:rPr>
          <w:rFonts w:ascii="Arial" w:hAnsi="Arial" w:eastAsia="Arial"/>
          <w:i w:val="true"/>
          <w:color w:val="000000"/>
          <w:spacing w:val="0"/>
          <w:w w:val="100"/>
          <w:sz w:val="24"/>
          <w:vertAlign w:val="baseline"/>
          <w:lang w:val="en-US"/>
        </w:rPr>
        <w:t xml:space="preserve">People v. Woods</w:t>
      </w:r>
      <w:r>
        <w:rPr>
          <w:rFonts w:ascii="Arial" w:hAnsi="Arial" w:eastAsia="Arial"/>
          <w:color w:val="000000"/>
          <w:spacing w:val="0"/>
          <w:w w:val="100"/>
          <w:sz w:val="24"/>
          <w:vertAlign w:val="baseline"/>
          <w:lang w:val="en-US"/>
        </w:rPr>
        <w:t xml:space="preserve">, 141 A.D.2d 684 (2</w:t>
      </w:r>
      <w:r>
        <w:rPr>
          <w:rFonts w:ascii="Arial" w:hAnsi="Arial" w:eastAsia="Arial"/>
          <w:color w:val="000000"/>
          <w:spacing w:val="0"/>
          <w:w w:val="100"/>
          <w:sz w:val="24"/>
          <w:vertAlign w:val="superscript"/>
          <w:lang w:val="en-US"/>
        </w:rPr>
        <w:t xml:space="preserve">nd</w:t>
      </w:r>
      <w:r>
        <w:rPr>
          <w:rFonts w:ascii="Arial" w:hAnsi="Arial" w:eastAsia="Arial"/>
          <w:color w:val="000000"/>
          <w:spacing w:val="0"/>
          <w:w w:val="100"/>
          <w:sz w:val="24"/>
          <w:vertAlign w:val="baseline"/>
          <w:lang w:val="en-US"/>
        </w:rPr>
        <w:t xml:space="preserve"> Dept. 1988); </w:t>
      </w:r>
      <w:r>
        <w:rPr>
          <w:rFonts w:ascii="Arial" w:hAnsi="Arial" w:eastAsia="Arial"/>
          <w:i w:val="true"/>
          <w:color w:val="000000"/>
          <w:spacing w:val="0"/>
          <w:w w:val="100"/>
          <w:sz w:val="24"/>
          <w:vertAlign w:val="baseline"/>
          <w:lang w:val="en-US"/>
        </w:rPr>
        <w:t xml:space="preserve">People v. Lanzot, </w:t>
      </w:r>
      <w:r>
        <w:rPr>
          <w:rFonts w:ascii="Arial" w:hAnsi="Arial" w:eastAsia="Arial"/>
          <w:color w:val="000000"/>
          <w:spacing w:val="0"/>
          <w:w w:val="100"/>
          <w:sz w:val="24"/>
          <w:vertAlign w:val="baseline"/>
          <w:lang w:val="en-US"/>
        </w:rPr>
        <w:t xml:space="preserve">67 A.D.2d 864 (1</w:t>
      </w:r>
      <w:r>
        <w:rPr>
          <w:rFonts w:ascii="Arial" w:hAnsi="Arial" w:eastAsia="Arial"/>
          <w:color w:val="000000"/>
          <w:spacing w:val="0"/>
          <w:w w:val="100"/>
          <w:sz w:val="24"/>
          <w:vertAlign w:val="superscript"/>
          <w:lang w:val="en-US"/>
        </w:rPr>
        <w:t xml:space="preserve">st</w:t>
      </w:r>
      <w:r>
        <w:rPr>
          <w:rFonts w:ascii="Arial" w:hAnsi="Arial" w:eastAsia="Arial"/>
          <w:color w:val="000000"/>
          <w:spacing w:val="0"/>
          <w:w w:val="100"/>
          <w:sz w:val="24"/>
          <w:vertAlign w:val="baseline"/>
          <w:lang w:val="en-US"/>
        </w:rPr>
        <w:t xml:space="preserve"> Dept. 1979). This general definition is based on limited existing case law, and may need to be modified or amplified in light of the facts of the individual case and the arguments of the parties.</w:t>
      </w:r>
    </w:p>
    <w:p>
      <w:pPr>
        <w:sectPr>
          <w:type w:val="nextPage"/>
          <w:pgSz w:w="12240" w:h="15840" w:orient="portrait"/>
          <w:pgMar w:bottom="1024" w:top="1400" w:right="2124" w:left="2148" w:header="720" w:footer="720"/>
          <w:titlePg w:val="false"/>
          <w:textDirection w:val="lrTb"/>
        </w:sectPr>
      </w:pPr>
    </w:p>
    <w:p>
      <w:pPr>
        <w:pageBreakBefore w:val="false"/>
        <w:numPr>
          <w:ilvl w:val="0"/>
          <w:numId w:val="2"/>
        </w:numPr>
        <w:tabs>
          <w:tab w:val="clear" w:pos="648"/>
          <w:tab w:val="left" w:pos="1440"/>
        </w:tabs>
        <w:spacing w:before="0" w:after="0" w:line="325"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incident, </w:t>
      </w:r>
      <w:r>
        <w:rPr>
          <w:rFonts w:ascii="Arial" w:hAnsi="Arial" w:eastAsia="Arial"/>
          <w:color w:val="000000"/>
          <w:spacing w:val="0"/>
          <w:w w:val="100"/>
          <w:sz w:val="23"/>
          <w:vertAlign w:val="baseline"/>
          <w:lang w:val="en-US"/>
        </w:rPr>
        <w:t xml:space="preserve">(specify) </w:t>
      </w:r>
      <w:r>
        <w:rPr>
          <w:rFonts w:ascii="Arial" w:hAnsi="Arial" w:eastAsia="Arial"/>
          <w:color w:val="000000"/>
          <w:spacing w:val="0"/>
          <w:w w:val="100"/>
          <w:sz w:val="28"/>
          <w:vertAlign w:val="baseline"/>
          <w:lang w:val="en-US"/>
        </w:rPr>
        <w:t xml:space="preserve">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 in the course of performing his/her official duties; and</w:t>
      </w:r>
    </w:p>
    <w:p>
      <w:pPr>
        <w:pageBreakBefore w:val="false"/>
        <w:numPr>
          <w:ilvl w:val="0"/>
          <w:numId w:val="2"/>
        </w:numPr>
        <w:tabs>
          <w:tab w:val="clear" w:pos="648"/>
          <w:tab w:val="left" w:pos="1440"/>
        </w:tabs>
        <w:spacing w:before="327" w:after="0" w:line="324" w:lineRule="exact"/>
        <w:ind w:right="0"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at the time of the incident, the defendant knew or reasonably should have known that </w:t>
      </w:r>
      <w:r>
        <w:rPr>
          <w:rFonts w:ascii="Arial" w:hAnsi="Arial" w:eastAsia="Arial"/>
          <w:color w:val="000000"/>
          <w:spacing w:val="0"/>
          <w:w w:val="100"/>
          <w:sz w:val="23"/>
          <w:vertAlign w:val="baseline"/>
          <w:lang w:val="en-US"/>
        </w:rPr>
        <w:t xml:space="preserve">(</w:t>
      </w:r>
      <w:r>
        <w:rPr>
          <w:rFonts w:ascii="Arial" w:hAnsi="Arial" w:eastAsia="Arial"/>
          <w:i w:val="true"/>
          <w:color w:val="000000"/>
          <w:spacing w:val="0"/>
          <w:w w:val="100"/>
          <w:sz w:val="23"/>
          <w:u w:val="single"/>
          <w:vertAlign w:val="baseline"/>
          <w:lang w:val="en-US"/>
        </w:rPr>
        <w:t xml:space="preserve">specify</w:t>
      </w:r>
      <w:r>
        <w:rPr>
          <w:rFonts w:ascii="Arial" w:hAnsi="Arial" w:eastAsia="Arial"/>
          <w:color w:val="000000"/>
          <w:spacing w:val="0"/>
          <w:w w:val="100"/>
          <w:sz w:val="23"/>
          <w:vertAlign w:val="baseline"/>
          <w:lang w:val="en-US"/>
        </w:rPr>
        <w:t xml:space="preserve">) </w:t>
      </w:r>
      <w:r>
        <w:rPr>
          <w:rFonts w:ascii="Arial" w:hAnsi="Arial" w:eastAsia="Arial"/>
          <w:color w:val="000000"/>
          <w:spacing w:val="0"/>
          <w:w w:val="100"/>
          <w:sz w:val="28"/>
          <w:vertAlign w:val="baseline"/>
          <w:lang w:val="en-US"/>
        </w:rPr>
        <w:t xml:space="preserve">was a police officer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peace officer].</w:t>
      </w:r>
    </w:p>
    <w:p>
      <w:pPr>
        <w:pageBreakBefore w:val="false"/>
        <w:spacing w:before="31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9124" w:top="1440" w:right="2131" w:left="2141"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3"/>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