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fId0.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8" w:after="0" w:line="331"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HAZING SECOND DEGREE</w:t>
        <w:br/>
      </w:r>
      <w:r>
        <w:rPr>
          <w:rFonts w:ascii="Arial" w:hAnsi="Arial" w:eastAsia="Arial"/>
          <w:b w:val="true"/>
          <w:color w:val="000000"/>
          <w:spacing w:val="0"/>
          <w:w w:val="100"/>
          <w:sz w:val="28"/>
          <w:vertAlign w:val="baseline"/>
          <w:lang w:val="en-US"/>
        </w:rPr>
        <w:t xml:space="preserve">(Creating Substantial Risk of Injury)</w:t>
        <w:br/>
      </w:r>
      <w:r>
        <w:rPr>
          <w:rFonts w:ascii="Arial" w:hAnsi="Arial" w:eastAsia="Arial"/>
          <w:b w:val="true"/>
          <w:color w:val="000000"/>
          <w:spacing w:val="0"/>
          <w:w w:val="100"/>
          <w:sz w:val="28"/>
          <w:vertAlign w:val="baseline"/>
          <w:lang w:val="en-US"/>
        </w:rPr>
        <w:t xml:space="preserve">Penal Law § 120.17</w:t>
        <w:br/>
      </w:r>
      <w:r>
        <w:rPr>
          <w:rFonts w:ascii="Arial" w:hAnsi="Arial" w:eastAsia="Arial"/>
          <w:b w:val="true"/>
          <w:color w:val="000000"/>
          <w:spacing w:val="0"/>
          <w:w w:val="100"/>
          <w:sz w:val="28"/>
          <w:vertAlign w:val="baseline"/>
          <w:lang w:val="en-US"/>
        </w:rPr>
        <w:t xml:space="preserve">(Committed on or after Nov. 1, 1988)</w:t>
      </w:r>
    </w:p>
    <w:p>
      <w:pPr>
        <w:pageBreakBefore w:val="false"/>
        <w:spacing w:before="40" w:after="0" w:line="274" w:lineRule="exact"/>
        <w:ind w:right="0" w:left="0" w:firstLine="0"/>
        <w:jc w:val="center"/>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Revised Jan. 2019</w:t>
      </w:r>
      <w:r>
        <w:rPr>
          <w:rFonts w:ascii="Arial" w:hAnsi="Arial" w:eastAsia="Arial"/>
          <w:b w:val="true"/>
          <w:color w:val="000000"/>
          <w:spacing w:val="-4"/>
          <w:w w:val="100"/>
          <w:sz w:val="24"/>
          <w:vertAlign w:val="superscript"/>
          <w:lang w:val="en-US"/>
        </w:rPr>
        <w:t xml:space="preserve">1</w:t>
      </w:r>
      <w:r>
        <w:rPr>
          <w:rFonts w:ascii="Arial" w:hAnsi="Arial" w:eastAsia="Arial"/>
          <w:b w:val="true"/>
          <w:color w:val="000000"/>
          <w:spacing w:val="-4"/>
          <w:w w:val="100"/>
          <w:sz w:val="14"/>
          <w:vertAlign w:val="baseline"/>
          <w:lang w:val="en-US"/>
        </w:rPr>
        <w:t xml:space="preserve">
</w:t>
      </w:r>
    </w:p>
    <w:p>
      <w:pPr>
        <w:pageBreakBefore w:val="false"/>
        <w:spacing w:before="338" w:after="0" w:line="326"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w:t>
      </w:r>
      <w:r>
        <w:rPr>
          <w:rFonts w:ascii="Arial" w:hAnsi="Arial" w:eastAsia="Arial"/>
          <w:i w:val="true"/>
          <w:color w:val="000000"/>
          <w:spacing w:val="0"/>
          <w:w w:val="100"/>
          <w:sz w:val="28"/>
          <w:u w:val="single"/>
          <w:vertAlign w:val="baseline"/>
          <w:lang w:val="en-US"/>
        </w:rPr>
        <w:t xml:space="preserve">specify</w:t>
      </w:r>
      <w:r>
        <w:rPr>
          <w:rFonts w:ascii="Arial" w:hAnsi="Arial" w:eastAsia="Arial"/>
          <w:color w:val="000000"/>
          <w:spacing w:val="0"/>
          <w:w w:val="100"/>
          <w:sz w:val="28"/>
          <w:vertAlign w:val="baseline"/>
          <w:lang w:val="en-US"/>
        </w:rPr>
        <w:t xml:space="preserve">) count is Hazing in the Second Degree.</w:t>
      </w:r>
    </w:p>
    <w:p>
      <w:pPr>
        <w:pageBreakBefore w:val="false"/>
        <w:spacing w:before="310" w:after="0" w:line="326" w:lineRule="exact"/>
        <w:ind w:right="720" w:left="72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a person is guilty of Hazing in the Second Degree when, in the course of another person's initiation or affiliation with any organization,</w:t>
      </w:r>
      <w:r>
        <w:rPr>
          <w:rFonts w:ascii="Arial" w:hAnsi="Arial" w:eastAsia="Arial"/>
          <w:color w:val="000000"/>
          <w:spacing w:val="0"/>
          <w:w w:val="100"/>
          <w:sz w:val="28"/>
          <w:vertAlign w:val="superscript"/>
          <w:lang w:val="en-US"/>
        </w:rPr>
        <w:t xml:space="preserve">2</w:t>
      </w:r>
      <w:r>
        <w:rPr>
          <w:rFonts w:ascii="Arial" w:hAnsi="Arial" w:eastAsia="Arial"/>
          <w:color w:val="000000"/>
          <w:spacing w:val="0"/>
          <w:w w:val="100"/>
          <w:sz w:val="28"/>
          <w:vertAlign w:val="baseline"/>
          <w:lang w:val="en-US"/>
        </w:rPr>
        <w:t xml:space="preserve"> he or she intentionally or recklessly engages in conduct, including, but not limited to, making physical contact with or requiring physical activity of such other person</w:t>
      </w:r>
      <w:r>
        <w:rPr>
          <w:rFonts w:ascii="Arial" w:hAnsi="Arial" w:eastAsia="Arial"/>
          <w:color w:val="000000"/>
          <w:spacing w:val="0"/>
          <w:w w:val="100"/>
          <w:sz w:val="28"/>
          <w:vertAlign w:val="superscript"/>
          <w:lang w:val="en-US"/>
        </w:rPr>
        <w:t xml:space="preserve">3</w:t>
      </w:r>
      <w:r>
        <w:rPr>
          <w:rFonts w:ascii="Arial" w:hAnsi="Arial" w:eastAsia="Arial"/>
          <w:color w:val="000000"/>
          <w:spacing w:val="0"/>
          <w:w w:val="100"/>
          <w:sz w:val="28"/>
          <w:vertAlign w:val="baseline"/>
          <w:lang w:val="en-US"/>
        </w:rPr>
        <w:t xml:space="preserve">, which creates a substantial risk of physical injury to such other person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to a third person].</w:t>
      </w:r>
    </w:p>
    <w:p>
      <w:pPr>
        <w:pageBreakBefore w:val="false"/>
        <w:spacing w:before="321" w:after="0" w:line="326" w:lineRule="exact"/>
        <w:ind w:right="720" w:left="72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following terms used in that definition have a special meaning:</w:t>
      </w:r>
    </w:p>
    <w:p>
      <w:pPr>
        <w:pageBreakBefore w:val="false"/>
        <w:spacing w:before="311" w:after="0" w:line="326" w:lineRule="exact"/>
        <w:ind w:right="720" w:left="72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PHYSICAL INJURYmeans impairment of physical condition or substantial pain.</w:t>
      </w:r>
      <w:r>
        <w:rPr>
          <w:rFonts w:ascii="Arial" w:hAnsi="Arial" w:eastAsia="Arial"/>
          <w:color w:val="000000"/>
          <w:spacing w:val="0"/>
          <w:w w:val="100"/>
          <w:sz w:val="28"/>
          <w:vertAlign w:val="superscript"/>
          <w:lang w:val="en-US"/>
        </w:rPr>
        <w:t xml:space="preserve">4</w:t>
      </w:r>
      <w:r>
        <w:rPr>
          <w:rFonts w:ascii="Arial" w:hAnsi="Arial" w:eastAsia="Arial"/>
          <w:color w:val="000000"/>
          <w:spacing w:val="0"/>
          <w:w w:val="100"/>
          <w:sz w:val="17"/>
          <w:vertAlign w:val="baseline"/>
          <w:lang w:val="en-US"/>
        </w:rPr>
        <w:t xml:space="preserve">
</w:t>
      </w:r>
    </w:p>
    <w:p>
      <w:pPr>
        <w:pageBreakBefore w:val="false"/>
        <w:spacing w:before="321" w:after="590" w:line="326" w:lineRule="exact"/>
        <w:ind w:right="720" w:left="720" w:firstLine="72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A person acts INTENTIONALLY when that person's conscious objective or purpose is to cause a particular result or to engage in particular conduct. Thus, a person intentionally engages in conduct which creates a substantial risk of physical injury to another person when his or her conscious objective or purpose is to engage in conduct which creates a substantial risk</w:t>
      </w:r>
    </w:p>
    <w:p>
      <w:pPr>
        <w:pageBreakBefore w:val="false"/>
        <w:spacing w:before="257" w:after="0" w:line="275" w:lineRule="exact"/>
        <w:ind w:right="72" w:left="0" w:firstLine="720"/>
        <w:jc w:val="left"/>
        <w:textAlignment w:val="baseline"/>
        <w:rPr>
          <w:rFonts w:ascii="Arial" w:hAnsi="Arial" w:eastAsia="Arial"/>
          <w:color w:val="000000"/>
          <w:spacing w:val="0"/>
          <w:w w:val="100"/>
          <w:sz w:val="14"/>
          <w:vertAlign w:val="superscript"/>
          <w:lang w:val="en-US"/>
        </w:rPr>
      </w:pPr>
      <w:r>
        <w:pict>
          <v:line strokeweight="0.95pt" strokecolor="#000000" from="108pt,540pt" to="252.05pt,540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1</w:t>
      </w:r>
      <w:r>
        <w:rPr>
          <w:rFonts w:ascii="Arial" w:hAnsi="Arial" w:eastAsia="Arial"/>
          <w:color w:val="000000"/>
          <w:spacing w:val="0"/>
          <w:w w:val="100"/>
          <w:sz w:val="24"/>
          <w:vertAlign w:val="baseline"/>
          <w:lang w:val="en-US"/>
        </w:rPr>
        <w:t xml:space="preserve"> The January 2018 revision was to include the phrase: “including, but not limited to, making physical contact with or requiring physical activity of such other person,” which was added by L. 2018, ch. 188, effective August 13, 2018. Thus that phrase may only be included in a prosecution for an offense charged to have been committed on or after that effective date.</w:t>
      </w:r>
    </w:p>
    <w:p>
      <w:pPr>
        <w:pageBreakBefore w:val="false"/>
        <w:spacing w:before="249" w:after="0" w:line="275" w:lineRule="exact"/>
        <w:ind w:right="72" w:left="0" w:firstLine="720"/>
        <w:jc w:val="left"/>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2</w:t>
      </w:r>
      <w:r>
        <w:rPr>
          <w:rFonts w:ascii="Arial" w:hAnsi="Arial" w:eastAsia="Arial"/>
          <w:color w:val="000000"/>
          <w:spacing w:val="0"/>
          <w:w w:val="100"/>
          <w:sz w:val="24"/>
          <w:vertAlign w:val="baseline"/>
          <w:lang w:val="en-US"/>
        </w:rPr>
        <w:t xml:space="preserve"> “Since the term ‘organization’ is not defined in the Penal Law, it retains its commonsense meaning. ‘Any organization’ is thus defined as ‘[a] body of persons . . . formed for a common purpose’ (Black's Law Dictionary 1133 [8th ed 2004]). </w:t>
      </w:r>
      <w:r>
        <w:rPr>
          <w:rFonts w:ascii="Arial" w:hAnsi="Arial" w:eastAsia="Arial"/>
          <w:i w:val="true"/>
          <w:color w:val="000000"/>
          <w:spacing w:val="0"/>
          <w:w w:val="100"/>
          <w:sz w:val="24"/>
          <w:vertAlign w:val="baseline"/>
          <w:lang w:val="en-US"/>
        </w:rPr>
        <w:t xml:space="preserve">In re Khalil H</w:t>
      </w:r>
      <w:r>
        <w:rPr>
          <w:rFonts w:ascii="Arial" w:hAnsi="Arial" w:eastAsia="Arial"/>
          <w:color w:val="000000"/>
          <w:spacing w:val="0"/>
          <w:w w:val="100"/>
          <w:sz w:val="24"/>
          <w:vertAlign w:val="baseline"/>
          <w:lang w:val="en-US"/>
        </w:rPr>
        <w:t xml:space="preserve">., 80 A.D.3d 83, 89 (2d Dept. 2010) (internal citation omitted).</w:t>
      </w:r>
    </w:p>
    <w:p>
      <w:pPr>
        <w:pageBreakBefore w:val="false"/>
        <w:spacing w:before="236" w:after="0" w:line="275" w:lineRule="exact"/>
        <w:ind w:right="0" w:left="720" w:firstLine="0"/>
        <w:jc w:val="left"/>
        <w:textAlignment w:val="baseline"/>
        <w:rPr>
          <w:rFonts w:ascii="Arial" w:hAnsi="Arial" w:eastAsia="Arial"/>
          <w:color w:val="000000"/>
          <w:spacing w:val="3"/>
          <w:w w:val="100"/>
          <w:sz w:val="14"/>
          <w:vertAlign w:val="superscript"/>
          <w:lang w:val="en-US"/>
        </w:rPr>
      </w:pPr>
      <w:r>
        <w:rPr>
          <w:rFonts w:ascii="Arial" w:hAnsi="Arial" w:eastAsia="Arial"/>
          <w:color w:val="000000"/>
          <w:spacing w:val="3"/>
          <w:w w:val="100"/>
          <w:sz w:val="14"/>
          <w:vertAlign w:val="superscript"/>
          <w:lang w:val="en-US"/>
        </w:rPr>
        <w:t xml:space="preserve">3</w:t>
      </w:r>
      <w:r>
        <w:rPr>
          <w:rFonts w:ascii="Arial" w:hAnsi="Arial" w:eastAsia="Arial"/>
          <w:color w:val="000000"/>
          <w:spacing w:val="3"/>
          <w:w w:val="100"/>
          <w:sz w:val="24"/>
          <w:vertAlign w:val="baseline"/>
          <w:lang w:val="en-US"/>
        </w:rPr>
        <w:t xml:space="preserve"> See footnote one.</w:t>
      </w:r>
    </w:p>
    <w:p>
      <w:pPr>
        <w:pageBreakBefore w:val="false"/>
        <w:spacing w:before="286" w:after="0" w:line="275" w:lineRule="exact"/>
        <w:ind w:right="0" w:left="1440" w:firstLine="0"/>
        <w:jc w:val="left"/>
        <w:textAlignment w:val="baseline"/>
        <w:rPr>
          <w:rFonts w:ascii="Arial" w:hAnsi="Arial" w:eastAsia="Arial"/>
          <w:color w:val="000000"/>
          <w:spacing w:val="-1"/>
          <w:w w:val="100"/>
          <w:sz w:val="17"/>
          <w:vertAlign w:val="baseline"/>
          <w:lang w:val="en-US"/>
        </w:rPr>
      </w:pPr>
      <w:r>
        <w:rPr>
          <w:rFonts w:ascii="Arial" w:hAnsi="Arial" w:eastAsia="Arial"/>
          <w:color w:val="000000"/>
          <w:spacing w:val="-1"/>
          <w:w w:val="100"/>
          <w:sz w:val="17"/>
          <w:vertAlign w:val="baseline"/>
          <w:lang w:val="en-US"/>
        </w:rPr>
        <w:t xml:space="preserve">4 </w:t>
      </w:r>
      <w:r>
        <w:rPr>
          <w:rFonts w:ascii="Arial" w:hAnsi="Arial" w:eastAsia="Arial"/>
          <w:color w:val="000000"/>
          <w:spacing w:val="-1"/>
          <w:w w:val="100"/>
          <w:sz w:val="24"/>
          <w:vertAlign w:val="baseline"/>
          <w:lang w:val="en-US"/>
        </w:rPr>
        <w:t xml:space="preserve">Penal Law § 10.00(9); </w:t>
      </w:r>
      <w:r>
        <w:rPr>
          <w:rFonts w:ascii="Arial" w:hAnsi="Arial" w:eastAsia="Arial"/>
          <w:i w:val="true"/>
          <w:color w:val="000000"/>
          <w:spacing w:val="-1"/>
          <w:w w:val="100"/>
          <w:sz w:val="24"/>
          <w:vertAlign w:val="baseline"/>
          <w:lang w:val="en-US"/>
        </w:rPr>
        <w:t xml:space="preserve">See People v. Chiddick</w:t>
      </w:r>
      <w:r>
        <w:rPr>
          <w:rFonts w:ascii="Arial" w:hAnsi="Arial" w:eastAsia="Arial"/>
          <w:color w:val="000000"/>
          <w:spacing w:val="-1"/>
          <w:w w:val="100"/>
          <w:sz w:val="24"/>
          <w:vertAlign w:val="baseline"/>
          <w:lang w:val="en-US"/>
        </w:rPr>
        <w:t xml:space="preserve">, 8 NY3d 445 (2007).</w:t>
      </w:r>
    </w:p>
    <w:p>
      <w:pPr>
        <w:sectPr>
          <w:type w:val="nextPage"/>
          <w:pgSz w:w="12240" w:h="15840" w:orient="portrait"/>
          <w:pgMar w:bottom="544" w:top="1080" w:right="1440" w:left="1440" w:header="720" w:footer="0"/>
          <w:titlePg w:val="false"/>
          <w:textDirection w:val="lrTb"/>
        </w:sectPr>
      </w:pPr>
    </w:p>
    <w:p>
      <w:pPr>
        <w:pageBreakBefore w:val="false"/>
        <w:spacing w:before="44" w:after="0" w:line="318" w:lineRule="exact"/>
        <w:ind w:right="0" w:left="0" w:firstLine="0"/>
        <w:jc w:val="left"/>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of physical injury to another person.</w:t>
      </w:r>
      <w:r>
        <w:rPr>
          <w:rFonts w:ascii="Arial" w:hAnsi="Arial" w:eastAsia="Arial"/>
          <w:color w:val="000000"/>
          <w:spacing w:val="-1"/>
          <w:w w:val="100"/>
          <w:sz w:val="28"/>
          <w:vertAlign w:val="superscript"/>
          <w:lang w:val="en-US"/>
        </w:rPr>
        <w:t xml:space="preserve">5</w:t>
      </w:r>
      <w:r>
        <w:rPr>
          <w:rFonts w:ascii="Arial" w:hAnsi="Arial" w:eastAsia="Arial"/>
          <w:color w:val="000000"/>
          <w:spacing w:val="-1"/>
          <w:w w:val="100"/>
          <w:sz w:val="17"/>
          <w:vertAlign w:val="baseline"/>
          <w:lang w:val="en-US"/>
        </w:rPr>
        <w:t xml:space="preserve">
</w:t>
      </w:r>
    </w:p>
    <w:p>
      <w:pPr>
        <w:pageBreakBefore w:val="false"/>
        <w:spacing w:before="335" w:after="0" w:line="322" w:lineRule="exact"/>
        <w:ind w:right="0" w:left="0" w:firstLine="720"/>
        <w:jc w:val="both"/>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A person RECKLESSLY engages in conduct which creates a substantial risk that physical injury to another person will occur</w:t>
      </w:r>
    </w:p>
    <w:p>
      <w:pPr>
        <w:pageBreakBefore w:val="false"/>
        <w:spacing w:before="322" w:after="0" w:line="326"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when he or she engages in such conduct and is aware of and consciously disregards such risk,</w:t>
      </w:r>
    </w:p>
    <w:p>
      <w:pPr>
        <w:pageBreakBefore w:val="false"/>
        <w:spacing w:before="322" w:after="0" w:line="323"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and when the risk of physical injury is of such nature and degree that disregard of that risk constitutes a gross deviation from the standard of conduct that a reasonable person would observe in the situation.</w:t>
      </w:r>
      <w:r>
        <w:rPr>
          <w:rFonts w:ascii="Arial" w:hAnsi="Arial" w:eastAsia="Arial"/>
          <w:color w:val="000000"/>
          <w:spacing w:val="0"/>
          <w:w w:val="100"/>
          <w:sz w:val="28"/>
          <w:vertAlign w:val="superscript"/>
          <w:lang w:val="en-US"/>
        </w:rPr>
        <w:t xml:space="preserve">6</w:t>
      </w:r>
      <w:r>
        <w:rPr>
          <w:rFonts w:ascii="Arial" w:hAnsi="Arial" w:eastAsia="Arial"/>
          <w:color w:val="000000"/>
          <w:spacing w:val="0"/>
          <w:w w:val="100"/>
          <w:sz w:val="17"/>
          <w:vertAlign w:val="baseline"/>
          <w:lang w:val="en-US"/>
        </w:rPr>
        <w:t xml:space="preserve">
</w:t>
      </w:r>
    </w:p>
    <w:p>
      <w:pPr>
        <w:pageBreakBefore w:val="false"/>
        <w:spacing w:before="332" w:after="0" w:line="321"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t>
      </w:r>
      <w:r>
        <w:rPr>
          <w:rFonts w:ascii="Arial" w:hAnsi="Arial" w:eastAsia="Arial"/>
          <w:i w:val="true"/>
          <w:color w:val="000000"/>
          <w:spacing w:val="0"/>
          <w:w w:val="100"/>
          <w:sz w:val="28"/>
          <w:vertAlign w:val="baseline"/>
          <w:lang w:val="en-US"/>
        </w:rPr>
        <w:t xml:space="preserve">NOTE: Where there is evidence of voluntary intoxication on the part of the defendant, add:</w:t>
      </w:r>
    </w:p>
    <w:p>
      <w:pPr>
        <w:pageBreakBefore w:val="false"/>
        <w:spacing w:before="8" w:after="0" w:line="319" w:lineRule="exact"/>
        <w:ind w:right="0" w:left="72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person also acts recklessly when he or she creates such a risk but is unaware of that risk solely by reason of his or her voluntary intoxication.</w:t>
      </w:r>
      <w:r>
        <w:rPr>
          <w:rFonts w:ascii="Arial" w:hAnsi="Arial" w:eastAsia="Arial"/>
          <w:color w:val="000000"/>
          <w:spacing w:val="0"/>
          <w:w w:val="100"/>
          <w:sz w:val="28"/>
          <w:vertAlign w:val="superscript"/>
          <w:lang w:val="en-US"/>
        </w:rPr>
        <w:t xml:space="preserve">7</w:t>
      </w:r>
      <w:r>
        <w:rPr>
          <w:rFonts w:ascii="Arial" w:hAnsi="Arial" w:eastAsia="Arial"/>
          <w:color w:val="000000"/>
          <w:spacing w:val="0"/>
          <w:w w:val="100"/>
          <w:sz w:val="28"/>
          <w:vertAlign w:val="baseline"/>
          <w:lang w:val="en-US"/>
        </w:rPr>
        <w:t xml:space="preserve">]</w:t>
      </w:r>
    </w:p>
    <w:p>
      <w:pPr>
        <w:pageBreakBefore w:val="false"/>
        <w:spacing w:before="333" w:after="0" w:line="324" w:lineRule="exact"/>
        <w:ind w:right="0"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In order for you to find the defendant guilty of this crime, the People are required to prove, from all the evidence in the case, beyond a reasonable doubt, both of the following two elements:</w:t>
      </w:r>
    </w:p>
    <w:p>
      <w:pPr>
        <w:pageBreakBefore w:val="false"/>
        <w:numPr>
          <w:ilvl w:val="0"/>
          <w:numId w:val="1"/>
        </w:numPr>
        <w:tabs>
          <w:tab w:val="clear" w:pos="720"/>
          <w:tab w:val="left" w:pos="1440"/>
        </w:tabs>
        <w:spacing w:before="324" w:after="0" w:line="324" w:lineRule="exact"/>
        <w:ind w:right="0" w:left="1440" w:hanging="720"/>
        <w:jc w:val="both"/>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That on or about </w:t>
      </w:r>
      <w:r>
        <w:rPr>
          <w:rFonts w:ascii="Arial" w:hAnsi="Arial" w:eastAsia="Arial"/>
          <w:i w:val="true"/>
          <w:color w:val="000000"/>
          <w:spacing w:val="-3"/>
          <w:w w:val="100"/>
          <w:sz w:val="23"/>
          <w:u w:val="single"/>
          <w:vertAlign w:val="baseline"/>
          <w:lang w:val="en-US"/>
        </w:rPr>
        <w:t xml:space="preserve"> (date) </w:t>
      </w:r>
      <w:r>
        <w:rPr>
          <w:rFonts w:ascii="Arial" w:hAnsi="Arial" w:eastAsia="Arial"/>
          <w:color w:val="000000"/>
          <w:spacing w:val="-3"/>
          <w:w w:val="100"/>
          <w:sz w:val="28"/>
          <w:vertAlign w:val="baseline"/>
          <w:lang w:val="en-US"/>
        </w:rPr>
        <w:t xml:space="preserve"> , in the County of </w:t>
      </w:r>
      <w:r>
        <w:rPr>
          <w:rFonts w:ascii="Arial" w:hAnsi="Arial" w:eastAsia="Arial"/>
          <w:i w:val="true"/>
          <w:color w:val="000000"/>
          <w:spacing w:val="-3"/>
          <w:w w:val="100"/>
          <w:sz w:val="23"/>
          <w:u w:val="single"/>
          <w:vertAlign w:val="baseline"/>
          <w:lang w:val="en-US"/>
        </w:rPr>
        <w:t xml:space="preserve"> (county) </w:t>
      </w:r>
      <w:r>
        <w:rPr>
          <w:rFonts w:ascii="Arial" w:hAnsi="Arial" w:eastAsia="Arial"/>
          <w:color w:val="000000"/>
          <w:spacing w:val="-3"/>
          <w:w w:val="100"/>
          <w:sz w:val="28"/>
          <w:vertAlign w:val="baseline"/>
          <w:lang w:val="en-US"/>
        </w:rPr>
        <w:t xml:space="preserve"> , the defendant, </w:t>
      </w:r>
      <w:r>
        <w:rPr>
          <w:rFonts w:ascii="Arial" w:hAnsi="Arial" w:eastAsia="Arial"/>
          <w:i w:val="true"/>
          <w:color w:val="000000"/>
          <w:spacing w:val="-3"/>
          <w:w w:val="100"/>
          <w:sz w:val="23"/>
          <w:u w:val="single"/>
          <w:vertAlign w:val="baseline"/>
          <w:lang w:val="en-US"/>
        </w:rPr>
        <w:t xml:space="preserve"> (defendant's name) </w:t>
      </w:r>
      <w:r>
        <w:rPr>
          <w:rFonts w:ascii="Arial" w:hAnsi="Arial" w:eastAsia="Arial"/>
          <w:color w:val="000000"/>
          <w:spacing w:val="-3"/>
          <w:w w:val="100"/>
          <w:sz w:val="28"/>
          <w:vertAlign w:val="baseline"/>
          <w:lang w:val="en-US"/>
        </w:rPr>
        <w:t xml:space="preserve"> , in the course of </w:t>
      </w:r>
      <w:r>
        <w:rPr>
          <w:rFonts w:ascii="Arial" w:hAnsi="Arial" w:eastAsia="Arial"/>
          <w:i w:val="true"/>
          <w:color w:val="000000"/>
          <w:spacing w:val="-3"/>
          <w:w w:val="100"/>
          <w:sz w:val="23"/>
          <w:u w:val="single"/>
          <w:vertAlign w:val="baseline"/>
          <w:lang w:val="en-US"/>
        </w:rPr>
        <w:t xml:space="preserve"> (specify)</w:t>
      </w:r>
      <w:r>
        <w:rPr>
          <w:rFonts w:ascii="Arial" w:hAnsi="Arial" w:eastAsia="Arial"/>
          <w:i w:val="true"/>
          <w:color w:val="000000"/>
          <w:spacing w:val="-3"/>
          <w:w w:val="100"/>
          <w:sz w:val="23"/>
          <w:vertAlign w:val="baseline"/>
          <w:lang w:val="en-US"/>
        </w:rPr>
        <w:t xml:space="preserve"> </w:t>
      </w:r>
      <w:r>
        <w:rPr>
          <w:rFonts w:ascii="Arial" w:hAnsi="Arial" w:eastAsia="Arial"/>
          <w:color w:val="000000"/>
          <w:spacing w:val="-3"/>
          <w:w w:val="100"/>
          <w:sz w:val="28"/>
          <w:vertAlign w:val="baseline"/>
          <w:lang w:val="en-US"/>
        </w:rPr>
        <w:t xml:space="preserve">'s initiation or affiliation with </w:t>
      </w:r>
      <w:r>
        <w:rPr>
          <w:rFonts w:ascii="Arial" w:hAnsi="Arial" w:eastAsia="Arial"/>
          <w:i w:val="true"/>
          <w:color w:val="000000"/>
          <w:spacing w:val="-3"/>
          <w:w w:val="100"/>
          <w:sz w:val="23"/>
          <w:u w:val="single"/>
          <w:vertAlign w:val="baseline"/>
          <w:lang w:val="en-US"/>
        </w:rPr>
        <w:t xml:space="preserve"> (name of organization) </w:t>
      </w:r>
      <w:r>
        <w:rPr>
          <w:rFonts w:ascii="Arial" w:hAnsi="Arial" w:eastAsia="Arial"/>
          <w:color w:val="000000"/>
          <w:spacing w:val="-3"/>
          <w:w w:val="100"/>
          <w:sz w:val="28"/>
          <w:vertAlign w:val="baseline"/>
          <w:lang w:val="en-US"/>
        </w:rPr>
        <w:t xml:space="preserve"> , engaged in conduct, including, but not limited to, making physical contact with or requiring physical activity of such other person,</w:t>
      </w:r>
      <w:r>
        <w:rPr>
          <w:rFonts w:ascii="Arial" w:hAnsi="Arial" w:eastAsia="Arial"/>
          <w:color w:val="000000"/>
          <w:spacing w:val="-3"/>
          <w:w w:val="100"/>
          <w:sz w:val="28"/>
          <w:vertAlign w:val="superscript"/>
          <w:lang w:val="en-US"/>
        </w:rPr>
        <w:t xml:space="preserve">8</w:t>
      </w:r>
      <w:r>
        <w:rPr>
          <w:rFonts w:ascii="Arial" w:hAnsi="Arial" w:eastAsia="Arial"/>
          <w:color w:val="000000"/>
          <w:spacing w:val="-3"/>
          <w:w w:val="100"/>
          <w:sz w:val="28"/>
          <w:vertAlign w:val="baseline"/>
          <w:lang w:val="en-US"/>
        </w:rPr>
        <w:t xml:space="preserve"> which created a substantial risk of physical injury to </w:t>
      </w:r>
      <w:r>
        <w:rPr>
          <w:rFonts w:ascii="Arial" w:hAnsi="Arial" w:eastAsia="Arial"/>
          <w:i w:val="true"/>
          <w:color w:val="000000"/>
          <w:spacing w:val="-3"/>
          <w:w w:val="100"/>
          <w:sz w:val="23"/>
          <w:u w:val="single"/>
          <w:vertAlign w:val="baseline"/>
          <w:lang w:val="en-US"/>
        </w:rPr>
        <w:t xml:space="preserve"> (specify) </w:t>
      </w:r>
      <w:r>
        <w:rPr>
          <w:rFonts w:ascii="Arial" w:hAnsi="Arial" w:eastAsia="Arial"/>
          <w:color w:val="000000"/>
          <w:spacing w:val="-3"/>
          <w:w w:val="100"/>
          <w:sz w:val="28"/>
          <w:vertAlign w:val="baseline"/>
          <w:lang w:val="en-US"/>
        </w:rPr>
        <w:t xml:space="preserve"> ; and</w:t>
      </w:r>
    </w:p>
    <w:p>
      <w:pPr>
        <w:pageBreakBefore w:val="false"/>
        <w:numPr>
          <w:ilvl w:val="0"/>
          <w:numId w:val="1"/>
        </w:numPr>
        <w:tabs>
          <w:tab w:val="clear" w:pos="720"/>
          <w:tab w:val="left" w:pos="1440"/>
        </w:tabs>
        <w:spacing w:before="327" w:after="307" w:line="321"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engaged in such conduct intentionally or recklessly.</w:t>
      </w:r>
    </w:p>
    <w:p>
      <w:pPr>
        <w:pageBreakBefore w:val="false"/>
        <w:spacing w:before="277" w:after="0" w:line="293" w:lineRule="exact"/>
        <w:ind w:right="0" w:left="288" w:firstLine="0"/>
        <w:jc w:val="left"/>
        <w:textAlignment w:val="baseline"/>
        <w:rPr>
          <w:rFonts w:ascii="Arial" w:hAnsi="Arial" w:eastAsia="Arial"/>
          <w:color w:val="000000"/>
          <w:spacing w:val="0"/>
          <w:w w:val="100"/>
          <w:sz w:val="17"/>
          <w:vertAlign w:val="baseline"/>
          <w:lang w:val="en-US"/>
        </w:rPr>
      </w:pPr>
      <w:r>
        <w:pict>
          <v:line strokeweight="1.2pt" strokecolor="#000000" from="108pt,605.05pt" to="252.05pt,605.05pt" style="position:absolute;mso-position-horizontal-relative:page;mso-position-vertical-relative:page;">
            <v:stroke dashstyle="solid"/>
          </v:line>
        </w:pict>
      </w:r>
      <w:r>
        <w:rPr>
          <w:rFonts w:ascii="Arial" w:hAnsi="Arial" w:eastAsia="Arial"/>
          <w:color w:val="000000"/>
          <w:spacing w:val="0"/>
          <w:w w:val="100"/>
          <w:sz w:val="17"/>
          <w:vertAlign w:val="baseline"/>
          <w:lang w:val="en-US"/>
        </w:rPr>
        <w:t xml:space="preserve">5 </w:t>
      </w:r>
      <w:r>
        <w:rPr>
          <w:rFonts w:ascii="Arial" w:hAnsi="Arial" w:eastAsia="Arial"/>
          <w:i w:val="true"/>
          <w:color w:val="000000"/>
          <w:spacing w:val="0"/>
          <w:w w:val="100"/>
          <w:sz w:val="22"/>
          <w:vertAlign w:val="baseline"/>
          <w:lang w:val="en-US"/>
        </w:rPr>
        <w:t xml:space="preserve">See </w:t>
      </w:r>
      <w:r>
        <w:rPr>
          <w:rFonts w:ascii="Arial" w:hAnsi="Arial" w:eastAsia="Arial"/>
          <w:color w:val="000000"/>
          <w:spacing w:val="0"/>
          <w:w w:val="100"/>
          <w:sz w:val="24"/>
          <w:vertAlign w:val="baseline"/>
          <w:lang w:val="en-US"/>
        </w:rPr>
        <w:t xml:space="preserve">Penal Law § 15.05(1).</w:t>
      </w:r>
    </w:p>
    <w:p>
      <w:pPr>
        <w:pageBreakBefore w:val="false"/>
        <w:spacing w:before="268" w:after="0" w:line="300" w:lineRule="exact"/>
        <w:ind w:right="0" w:left="288" w:firstLine="0"/>
        <w:jc w:val="left"/>
        <w:textAlignment w:val="baseline"/>
        <w:rPr>
          <w:rFonts w:ascii="Arial" w:hAnsi="Arial" w:eastAsia="Arial"/>
          <w:color w:val="000000"/>
          <w:spacing w:val="-2"/>
          <w:w w:val="100"/>
          <w:sz w:val="17"/>
          <w:vertAlign w:val="baseline"/>
          <w:lang w:val="en-US"/>
        </w:rPr>
      </w:pPr>
      <w:r>
        <w:rPr>
          <w:rFonts w:ascii="Arial" w:hAnsi="Arial" w:eastAsia="Arial"/>
          <w:color w:val="000000"/>
          <w:spacing w:val="-2"/>
          <w:w w:val="100"/>
          <w:sz w:val="17"/>
          <w:vertAlign w:val="baseline"/>
          <w:lang w:val="en-US"/>
        </w:rPr>
        <w:t xml:space="preserve">6 </w:t>
      </w:r>
      <w:r>
        <w:rPr>
          <w:rFonts w:ascii="Arial" w:hAnsi="Arial" w:eastAsia="Arial"/>
          <w:i w:val="true"/>
          <w:color w:val="000000"/>
          <w:spacing w:val="-2"/>
          <w:w w:val="100"/>
          <w:sz w:val="24"/>
          <w:vertAlign w:val="baseline"/>
          <w:lang w:val="en-US"/>
        </w:rPr>
        <w:t xml:space="preserve">See </w:t>
      </w:r>
      <w:r>
        <w:rPr>
          <w:rFonts w:ascii="Arial" w:hAnsi="Arial" w:eastAsia="Arial"/>
          <w:color w:val="000000"/>
          <w:spacing w:val="-2"/>
          <w:w w:val="100"/>
          <w:sz w:val="24"/>
          <w:vertAlign w:val="baseline"/>
          <w:lang w:val="en-US"/>
        </w:rPr>
        <w:t xml:space="preserve">Penal Law § 15.05(3); </w:t>
      </w:r>
      <w:r>
        <w:rPr>
          <w:rFonts w:ascii="Arial" w:hAnsi="Arial" w:eastAsia="Arial"/>
          <w:i w:val="true"/>
          <w:color w:val="000000"/>
          <w:spacing w:val="-2"/>
          <w:w w:val="100"/>
          <w:sz w:val="24"/>
          <w:vertAlign w:val="baseline"/>
          <w:lang w:val="en-US"/>
        </w:rPr>
        <w:t xml:space="preserve">People v. Boutin</w:t>
      </w:r>
      <w:r>
        <w:rPr>
          <w:rFonts w:ascii="Arial" w:hAnsi="Arial" w:eastAsia="Arial"/>
          <w:color w:val="000000"/>
          <w:spacing w:val="-2"/>
          <w:w w:val="100"/>
          <w:sz w:val="24"/>
          <w:vertAlign w:val="baseline"/>
          <w:lang w:val="en-US"/>
        </w:rPr>
        <w:t xml:space="preserve">, 75 NY2d 692, 696 (1990).</w:t>
      </w:r>
    </w:p>
    <w:p>
      <w:pPr>
        <w:pageBreakBefore w:val="false"/>
        <w:spacing w:before="272" w:after="0" w:line="288" w:lineRule="exact"/>
        <w:ind w:right="0" w:left="288" w:firstLine="0"/>
        <w:jc w:val="left"/>
        <w:textAlignment w:val="baseline"/>
        <w:rPr>
          <w:rFonts w:ascii="Arial" w:hAnsi="Arial" w:eastAsia="Arial"/>
          <w:color w:val="000000"/>
          <w:spacing w:val="0"/>
          <w:w w:val="100"/>
          <w:sz w:val="17"/>
          <w:vertAlign w:val="baseline"/>
          <w:lang w:val="en-US"/>
        </w:rPr>
      </w:pPr>
      <w:r>
        <w:rPr>
          <w:rFonts w:ascii="Arial" w:hAnsi="Arial" w:eastAsia="Arial"/>
          <w:color w:val="000000"/>
          <w:spacing w:val="0"/>
          <w:w w:val="100"/>
          <w:sz w:val="17"/>
          <w:vertAlign w:val="baseline"/>
          <w:lang w:val="en-US"/>
        </w:rPr>
        <w:t xml:space="preserve">7 </w:t>
      </w:r>
      <w:r>
        <w:rPr>
          <w:rFonts w:ascii="Arial" w:hAnsi="Arial" w:eastAsia="Arial"/>
          <w:i w:val="true"/>
          <w:color w:val="000000"/>
          <w:spacing w:val="0"/>
          <w:w w:val="100"/>
          <w:sz w:val="24"/>
          <w:vertAlign w:val="baseline"/>
          <w:lang w:val="en-US"/>
        </w:rPr>
        <w:t xml:space="preserve">See </w:t>
      </w:r>
      <w:r>
        <w:rPr>
          <w:rFonts w:ascii="Arial" w:hAnsi="Arial" w:eastAsia="Arial"/>
          <w:color w:val="000000"/>
          <w:spacing w:val="0"/>
          <w:w w:val="100"/>
          <w:sz w:val="24"/>
          <w:vertAlign w:val="baseline"/>
          <w:lang w:val="en-US"/>
        </w:rPr>
        <w:t xml:space="preserve">Penal Law § 15.05(3).</w:t>
      </w:r>
    </w:p>
    <w:p>
      <w:pPr>
        <w:pageBreakBefore w:val="false"/>
        <w:spacing w:before="253" w:after="0" w:line="273" w:lineRule="exact"/>
        <w:ind w:right="0" w:left="0" w:firstLine="0"/>
        <w:jc w:val="left"/>
        <w:textAlignment w:val="baseline"/>
        <w:rPr>
          <w:rFonts w:ascii="Arial" w:hAnsi="Arial" w:eastAsia="Arial"/>
          <w:color w:val="000000"/>
          <w:spacing w:val="3"/>
          <w:w w:val="100"/>
          <w:sz w:val="14"/>
          <w:vertAlign w:val="superscript"/>
          <w:lang w:val="en-US"/>
        </w:rPr>
      </w:pPr>
      <w:r>
        <w:rPr>
          <w:rFonts w:ascii="Arial" w:hAnsi="Arial" w:eastAsia="Arial"/>
          <w:color w:val="000000"/>
          <w:spacing w:val="3"/>
          <w:w w:val="100"/>
          <w:sz w:val="14"/>
          <w:vertAlign w:val="superscript"/>
          <w:lang w:val="en-US"/>
        </w:rPr>
        <w:t xml:space="preserve">8</w:t>
      </w:r>
      <w:r>
        <w:rPr>
          <w:rFonts w:ascii="Arial" w:hAnsi="Arial" w:eastAsia="Arial"/>
          <w:color w:val="000000"/>
          <w:spacing w:val="3"/>
          <w:w w:val="100"/>
          <w:sz w:val="24"/>
          <w:vertAlign w:val="baseline"/>
          <w:lang w:val="en-US"/>
        </w:rPr>
        <w:t xml:space="preserve"> See footnote one.</w:t>
      </w:r>
    </w:p>
    <w:p>
      <w:pPr>
        <w:sectPr>
          <w:footerReference w:type="default" r:id="fId0"/>
          <w:type w:val="nextPage"/>
          <w:pgSz w:w="12240" w:h="15840" w:orient="portrait"/>
          <w:pgMar w:bottom="885" w:top="1040" w:right="2140" w:left="2160" w:header="720" w:footer="1041"/>
          <w:titlePg w:val="false"/>
          <w:textDirection w:val="lrTb"/>
        </w:sectPr>
      </w:pPr>
    </w:p>
    <w:p>
      <w:pPr>
        <w:pageBreakBefore w:val="false"/>
        <w:spacing w:before="2" w:after="0" w:line="326"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proven beyond a reasonable doubt both of those elements, you must find the defendant guilty of this crime.</w:t>
      </w:r>
    </w:p>
    <w:p>
      <w:pPr>
        <w:pageBreakBefore w:val="false"/>
        <w:spacing w:before="318" w:after="0" w:line="326" w:lineRule="exact"/>
        <w:ind w:right="0" w:left="0" w:firstLine="720"/>
        <w:jc w:val="both"/>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If you find the People have not proven beyond a reasonable doubt either one or both of those elements, you must find the defendant not guilty of this crime.</w:t>
      </w:r>
    </w:p>
    <w:sectPr>
      <w:type w:val="nextPage"/>
      <w:pgSz w:w="12240" w:h="15840" w:orient="portrait"/>
      <w:pgMar w:bottom="876" w:top="1080" w:right="2145" w:left="2155" w:header="720" w:footer="1036"/>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fId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pageBreakBefore w:val="false"/>
      <w:tabs>
        <w:tab w:val="left" w:leader="none" w:pos="3826"/>
      </w:tabs>
      <w:spacing w:before="0" w:after="0" w:line="278" w:lineRule="exact"/>
      <w:ind w:right="0" w:left="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ab/>
    </w:r>
    <w:r>
      <w:rPr>
        <w:rFonts w:ascii="Arial" w:hAnsi="Arial" w:eastAsia="Arial"/>
        <w:color w:val="000000"/>
        <w:spacing w:val="0"/>
        <w:w w:val="100"/>
        <w:sz w:val="26"/>
        <w:vertAlign w:val="baseline"/>
        <w:lang w:val="en-US"/>
      </w:rPr>
      <w:fldChar w:fldCharType="begin"/>
    </w:r>
    <w:r>
      <w:rPr>
        <w:rFonts w:ascii="Arial" w:hAnsi="Arial" w:eastAsia="Arial"/>
        <w:color w:val="000000"/>
        <w:spacing w:val="0"/>
        <w:w w:val="100"/>
        <w:sz w:val="26"/>
        <w:vertAlign w:val="baseline"/>
        <w:lang w:val="en-US"/>
      </w:rPr>
      <w:instrText xml:space="preserve">PAGE</w:instrText>
    </w:r>
    <w:r>
      <w:rPr>
        <w:rFonts w:ascii="Arial" w:hAnsi="Arial" w:eastAsia="Arial"/>
        <w:color w:val="000000"/>
        <w:spacing w:val="0"/>
        <w:w w:val="100"/>
        <w:sz w:val="26"/>
        <w:vertAlign w:val="baseline"/>
        <w:lang w:val="en-US"/>
      </w:rPr>
      <w:fldChar w:fldCharType="end"/>
    </w:r>
    <w:r>
      <w:rPr>
        <w:rFonts w:ascii="Arial" w:hAnsi="Arial" w:eastAsia="Arial"/>
        <w:color w:val="000000"/>
        <w:spacing w:val="0"/>
        <w:w w:val="100"/>
        <w:sz w:val="26"/>
        <w:vertAlign w:val="baseline"/>
        <w:lang w:val="en-US"/>
      </w:rPr>
      <w:t xml:space="preserve">
</w:t>
    </w:r>
  </w:p>
</w:ft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720"/>
        </w:tabs>
      </w:pPr>
      <w:rPr>
        <w:rFonts w:ascii="Arial" w:hAnsi="Arial" w:eastAsia="Arial"/>
        <w:color w:val="000000"/>
        <w:spacing w:val="-3"/>
        <w:w w:val="100"/>
        <w:sz w:val="2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evenAndOddHeaders w:val="false"/>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fId0" Type="http://schemas.openxmlformats.org/officeDocument/2006/relationships/footer" Target="footerfId0.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