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MENACING IN THE SECOND DEGREE</w:t>
        <w:br/>
      </w:r>
      <w:r>
        <w:rPr>
          <w:rFonts w:ascii="Arial" w:hAnsi="Arial" w:eastAsia="Arial"/>
          <w:b w:val="true"/>
          <w:strike w:val="false"/>
          <w:color w:val="000000"/>
          <w:spacing w:val="0"/>
          <w:w w:val="100"/>
          <w:sz w:val="28"/>
          <w:vertAlign w:val="baseline"/>
          <w:lang w:val="en-US"/>
        </w:rPr>
        <w:t xml:space="preserve">(Third degree and violate OP)</w:t>
        <w:br/>
      </w:r>
      <w:r>
        <w:rPr>
          <w:rFonts w:ascii="Arial" w:hAnsi="Arial" w:eastAsia="Arial"/>
          <w:b w:val="true"/>
          <w:strike w:val="false"/>
          <w:color w:val="000000"/>
          <w:spacing w:val="0"/>
          <w:w w:val="100"/>
          <w:sz w:val="28"/>
          <w:vertAlign w:val="baseline"/>
          <w:lang w:val="en-US"/>
        </w:rPr>
        <w:t xml:space="preserve">Penal Law § 120.14(3)</w:t>
        <w:br/>
      </w:r>
      <w:r>
        <w:rPr>
          <w:rFonts w:ascii="Arial" w:hAnsi="Arial" w:eastAsia="Arial"/>
          <w:b w:val="true"/>
          <w:strike w:val="false"/>
          <w:color w:val="000000"/>
          <w:spacing w:val="0"/>
          <w:w w:val="100"/>
          <w:sz w:val="28"/>
          <w:vertAlign w:val="baseline"/>
          <w:lang w:val="en-US"/>
        </w:rPr>
        <w:t xml:space="preserve">(Committed on or after Dec. 22, 1998)</w:t>
      </w:r>
    </w:p>
    <w:p>
      <w:pPr>
        <w:pageBreakBefore w:val="false"/>
        <w:spacing w:before="327"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Menacing in the Second Degree.</w:t>
      </w:r>
    </w:p>
    <w:p>
      <w:pPr>
        <w:pageBreakBefore w:val="false"/>
        <w:spacing w:before="31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Menacing in the Second Degree when,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by physical menace, he or she intentionally places or attempts to place another person in fear of death or imminent serious physical injury or imminent physical injury, in violation of that part of:</w:t>
      </w:r>
    </w:p>
    <w:p>
      <w:pPr>
        <w:pageBreakBefore w:val="false"/>
        <w:spacing w:before="330" w:after="0" w:line="319"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w:t>
      </w:r>
    </w:p>
    <w:p>
      <w:pPr>
        <w:pageBreakBefore w:val="false"/>
        <w:spacing w:before="322" w:after="0" w:line="323"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duly served order of protection, or such order of which the defendant has actual knowledge because he or she was present in court when such order was issued, pursuant to the [family court act / the criminal procedure law </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w:t>
      </w:r>
    </w:p>
    <w:p>
      <w:pPr>
        <w:pageBreakBefore w:val="false"/>
        <w:spacing w:before="327"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order of protection issued by a court of competent jurisdiction in another state, territorial or tribal jurisdiction, which directed the respondent or defendant to stay away from the person or persons on whose behalf the order was issued.</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811"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INTENTIONALLY when that person's conscious objective or purpose is to cause a particular result or</w:t>
      </w:r>
    </w:p>
    <w:p>
      <w:pPr>
        <w:pageBreakBefore w:val="false"/>
        <w:spacing w:before="258" w:after="0" w:line="277"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1.2pt" strokecolor="#000000" from="108pt,599.3pt" to="252.05pt,599.3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At this point the statute reads: “when he or she commits the crime of menacing in the third degree.” This instruction, therefore, substitutes the definition of “menacing in the third degree” and thereafter continues with the definition of the instant crime which begins with the words “in violation of ...”</w:t>
      </w:r>
    </w:p>
    <w:p>
      <w:pPr>
        <w:pageBreakBefore w:val="false"/>
        <w:spacing w:before="234"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statute specifies and limits its application to an order of protection issued pursuant to “article eight of the Family Court Act and section 530.12 of the Criminal Procedure Law.”</w:t>
      </w:r>
    </w:p>
    <w:p>
      <w:pPr>
        <w:sectPr>
          <w:type w:val="nextPage"/>
          <w:pgSz w:w="12240" w:h="15840" w:orient="portrait"/>
          <w:pgMar w:bottom="1024" w:top="1080" w:right="2140" w:left="2160" w:header="720" w:footer="720"/>
          <w:titlePg w:val="false"/>
          <w:textDirection w:val="lrTb"/>
        </w:sectPr>
      </w:pPr>
    </w:p>
    <w:p>
      <w:pPr>
        <w:pageBreakBefore w:val="false"/>
        <w:spacing w:before="53" w:after="0" w:line="321"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engage in particular conduct.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intentionally places another person in fear of death or imminent serious physical injury or imminent physical injury by physical menace when that person's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44" w:after="0" w:line="30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14" w:after="0" w:line="31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10" w:after="0" w:line="312"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5"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3"/>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3"/>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by physical menace, placed or attempted to place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in fear of death, or imminent serious physical injury, or imminent physical injury;</w:t>
      </w:r>
    </w:p>
    <w:p>
      <w:pPr>
        <w:pageBreakBefore w:val="false"/>
        <w:numPr>
          <w:ilvl w:val="0"/>
          <w:numId w:val="1"/>
        </w:numPr>
        <w:tabs>
          <w:tab w:val="clear" w:pos="720"/>
          <w:tab w:val="left" w:pos="1440"/>
        </w:tabs>
        <w:spacing w:before="332"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w:t>
      </w:r>
    </w:p>
    <w:p>
      <w:pPr>
        <w:pageBreakBefore w:val="false"/>
        <w:numPr>
          <w:ilvl w:val="0"/>
          <w:numId w:val="1"/>
        </w:numPr>
        <w:tabs>
          <w:tab w:val="clear" w:pos="720"/>
          <w:tab w:val="left" w:pos="1440"/>
        </w:tabs>
        <w:spacing w:before="0" w:after="0" w:line="648" w:lineRule="exact"/>
        <w:ind w:right="1512"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 violation of: </w:t>
      </w:r>
      <w:r>
        <w:rPr>
          <w:rFonts w:ascii="Arial" w:hAnsi="Arial" w:eastAsia="Arial"/>
          <w:i w:val="true"/>
          <w:strike w:val="false"/>
          <w:color w:val="000000"/>
          <w:spacing w:val="0"/>
          <w:w w:val="100"/>
          <w:sz w:val="28"/>
          <w:u w:val="single"/>
          <w:vertAlign w:val="baseline"/>
          <w:lang w:val="en-US"/>
        </w:rPr>
        <w:t xml:space="preserve">Select appropriate alternative: </w:t>
      </w:r>
    </w:p>
    <w:p>
      <w:pPr>
        <w:pageBreakBefore w:val="false"/>
        <w:spacing w:before="328" w:after="509" w:line="321" w:lineRule="exact"/>
        <w:ind w:right="0" w:left="144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duly served order of protection, or such order of which the defendant has actual knowledge because he or she was present in court when such order was</w:t>
      </w:r>
    </w:p>
    <w:p>
      <w:pPr>
        <w:pageBreakBefore w:val="false"/>
        <w:spacing w:before="270" w:after="0" w:line="298" w:lineRule="exact"/>
        <w:ind w:right="0" w:left="360" w:firstLine="0"/>
        <w:jc w:val="left"/>
        <w:textAlignment w:val="baseline"/>
        <w:rPr>
          <w:rFonts w:ascii="Arial" w:hAnsi="Arial" w:eastAsia="Arial"/>
          <w:strike w:val="false"/>
          <w:color w:val="000000"/>
          <w:spacing w:val="0"/>
          <w:w w:val="100"/>
          <w:sz w:val="17"/>
          <w:vertAlign w:val="baseline"/>
          <w:lang w:val="en-US"/>
        </w:rPr>
      </w:pPr>
      <w:r>
        <w:pict>
          <v:line strokeweight="0.95pt" strokecolor="#000000" from="108pt,607.2pt" to="252.05pt,607.2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1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pageBreakBefore w:val="false"/>
        <w:spacing w:before="265" w:after="0" w:line="271" w:lineRule="exact"/>
        <w:ind w:right="0" w:left="360" w:firstLine="0"/>
        <w:jc w:val="left"/>
        <w:textAlignment w:val="baseline"/>
        <w:rPr>
          <w:rFonts w:ascii="Arial" w:hAnsi="Arial" w:eastAsia="Arial"/>
          <w:strike w:val="false"/>
          <w:color w:val="000000"/>
          <w:spacing w:val="-1"/>
          <w:w w:val="100"/>
          <w:sz w:val="17"/>
          <w:vertAlign w:val="baseline"/>
          <w:lang w:val="en-US"/>
        </w:rPr>
      </w:pPr>
      <w:r>
        <w:rPr>
          <w:rFonts w:ascii="Arial" w:hAnsi="Arial" w:eastAsia="Arial"/>
          <w:strike w:val="false"/>
          <w:color w:val="000000"/>
          <w:spacing w:val="-1"/>
          <w:w w:val="100"/>
          <w:sz w:val="17"/>
          <w:vertAlign w:val="baseline"/>
          <w:lang w:val="en-US"/>
        </w:rPr>
        <w:t xml:space="preserve">2 </w:t>
      </w:r>
      <w:r>
        <w:rPr>
          <w:rFonts w:ascii="Arial" w:hAnsi="Arial" w:eastAsia="Arial"/>
          <w:i w:val="true"/>
          <w:strike w:val="false"/>
          <w:color w:val="000000"/>
          <w:spacing w:val="-1"/>
          <w:w w:val="100"/>
          <w:sz w:val="24"/>
          <w:vertAlign w:val="baseline"/>
          <w:lang w:val="en-US"/>
        </w:rPr>
        <w:t xml:space="preserve">Id.</w:t>
      </w:r>
    </w:p>
    <w:p>
      <w:pPr>
        <w:pageBreakBefore w:val="false"/>
        <w:spacing w:before="294" w:after="0" w:line="295" w:lineRule="exact"/>
        <w:ind w:right="0" w:left="36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3 </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72" w:after="0" w:line="292" w:lineRule="exact"/>
        <w:ind w:right="0" w:left="36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strike w:val="false"/>
          <w:color w:val="000000"/>
          <w:spacing w:val="0"/>
          <w:w w:val="100"/>
          <w:sz w:val="24"/>
          <w:vertAlign w:val="baseline"/>
          <w:lang w:val="en-US"/>
        </w:rPr>
        <w:t xml:space="preserve">Penal Law § 10.00(10).</w:t>
      </w:r>
    </w:p>
    <w:p>
      <w:pPr>
        <w:sectPr>
          <w:type w:val="nextPage"/>
          <w:pgSz w:w="12240" w:h="15840" w:orient="portrait"/>
          <w:pgMar w:bottom="1004" w:top="1040" w:right="2140" w:left="2160"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issued, pursuant to the [family court act / the criminal procedure law].</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order of protection issued by a court of competent jurisdiction in another state, territorial or tribal jurisdiction, which directed the respondent or defendant to stay away from the person or persons on whose behalf the order was issued.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91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