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299"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MENACING SECOND DEGREE</w:t>
        <w:br/>
      </w:r>
      <w:r>
        <w:rPr>
          <w:rFonts w:ascii="Arial" w:hAnsi="Arial" w:eastAsia="Arial"/>
          <w:b w:val="true"/>
          <w:color w:val="000000"/>
          <w:spacing w:val="0"/>
          <w:w w:val="100"/>
          <w:sz w:val="26"/>
          <w:vertAlign w:val="baseline"/>
          <w:lang w:val="en-US"/>
        </w:rPr>
        <w:t xml:space="preserve">(Reasonable Fear of Injury; Weapon)</w:t>
        <w:br/>
      </w:r>
      <w:r>
        <w:rPr>
          <w:rFonts w:ascii="Arial" w:hAnsi="Arial" w:eastAsia="Arial"/>
          <w:b w:val="true"/>
          <w:color w:val="000000"/>
          <w:spacing w:val="0"/>
          <w:w w:val="100"/>
          <w:sz w:val="26"/>
          <w:vertAlign w:val="baseline"/>
          <w:lang w:val="en-US"/>
        </w:rPr>
        <w:t xml:space="preserve">Penal Law § 120.14(1)</w:t>
        <w:br/>
      </w:r>
      <w:r>
        <w:rPr>
          <w:rFonts w:ascii="Arial" w:hAnsi="Arial" w:eastAsia="Arial"/>
          <w:b w:val="true"/>
          <w:color w:val="000000"/>
          <w:spacing w:val="0"/>
          <w:w w:val="100"/>
          <w:sz w:val="26"/>
          <w:vertAlign w:val="baseline"/>
          <w:lang w:val="en-US"/>
        </w:rPr>
        <w:t xml:space="preserve">(Committed on or after Nov. 1, 1992)</w:t>
      </w:r>
      <w:r>
        <w:rPr>
          <w:rFonts w:ascii="Arial" w:hAnsi="Arial" w:eastAsia="Arial"/>
          <w:b w:val="true"/>
          <w:color w:val="000000"/>
          <w:spacing w:val="0"/>
          <w:w w:val="100"/>
          <w:sz w:val="26"/>
          <w:vertAlign w:val="superscript"/>
          <w:lang w:val="en-US"/>
        </w:rPr>
        <w:t xml:space="preserve">1</w:t>
      </w:r>
      <w:r>
        <w:rPr>
          <w:rFonts w:ascii="Arial" w:hAnsi="Arial" w:eastAsia="Arial"/>
          <w:b w:val="true"/>
          <w:color w:val="000000"/>
          <w:spacing w:val="0"/>
          <w:w w:val="100"/>
          <w:sz w:val="16"/>
          <w:vertAlign w:val="baseline"/>
          <w:lang w:val="en-US"/>
        </w:rPr>
        <w:t xml:space="preserve"></w:t>
        <w:br/>
      </w:r>
      <w:r>
        <w:rPr>
          <w:rFonts w:ascii="Arial" w:hAnsi="Arial" w:eastAsia="Arial"/>
          <w:color w:val="000000"/>
          <w:spacing w:val="0"/>
          <w:w w:val="100"/>
          <w:sz w:val="24"/>
          <w:vertAlign w:val="baseline"/>
          <w:lang w:val="en-US"/>
        </w:rPr>
        <w:t xml:space="preserve">Revised April, 2018</w:t>
      </w:r>
      <w:r>
        <w:rPr>
          <w:rFonts w:ascii="Arial" w:hAnsi="Arial" w:eastAsia="Arial"/>
          <w:color w:val="000000"/>
          <w:spacing w:val="0"/>
          <w:w w:val="100"/>
          <w:sz w:val="24"/>
          <w:vertAlign w:val="superscript"/>
          <w:lang w:val="en-US"/>
        </w:rPr>
        <w:t xml:space="preserve">1</w:t>
      </w:r>
      <w:r>
        <w:rPr>
          <w:rFonts w:ascii="Arial" w:hAnsi="Arial" w:eastAsia="Arial"/>
          <w:color w:val="000000"/>
          <w:spacing w:val="0"/>
          <w:w w:val="100"/>
          <w:sz w:val="14"/>
          <w:vertAlign w:val="baseline"/>
          <w:lang w:val="en-US"/>
        </w:rPr>
        <w:t xml:space="preserve">
</w:t>
      </w:r>
    </w:p>
    <w:p>
      <w:pPr>
        <w:pageBreakBefore w:val="false"/>
        <w:spacing w:before="309"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 is Menacing in the Second Degree.</w:t>
      </w:r>
    </w:p>
    <w:p>
      <w:pPr>
        <w:pageBreakBefore w:val="false"/>
        <w:spacing w:before="300" w:after="0" w:line="296"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Menacing in the Second Degree when he or she intentionally places or attempts to place another person in reasonable fear of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serious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death</w:t>
      </w:r>
      <w:r>
        <w:rPr>
          <w:rFonts w:ascii="Arial" w:hAnsi="Arial" w:eastAsia="Arial"/>
          <w:color w:val="000000"/>
          <w:spacing w:val="0"/>
          <w:w w:val="100"/>
          <w:sz w:val="26"/>
          <w:vertAlign w:val="superscript"/>
          <w:lang w:val="en-US"/>
        </w:rPr>
        <w:t xml:space="preserve">2</w:t>
      </w:r>
      <w:r>
        <w:rPr>
          <w:rFonts w:ascii="Arial" w:hAnsi="Arial" w:eastAsia="Arial"/>
          <w:color w:val="000000"/>
          <w:spacing w:val="0"/>
          <w:w w:val="100"/>
          <w:sz w:val="26"/>
          <w:vertAlign w:val="baseline"/>
          <w:lang w:val="en-US"/>
        </w:rPr>
        <w:t xml:space="preserve">] by displaying:</w:t>
      </w:r>
    </w:p>
    <w:p>
      <w:pPr>
        <w:pageBreakBefore w:val="false"/>
        <w:spacing w:before="302" w:after="0" w:line="297" w:lineRule="exact"/>
        <w:ind w:right="0" w:left="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298" w:after="0" w:line="297"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 deadly weapon</w:t>
      </w:r>
    </w:p>
    <w:p>
      <w:pPr>
        <w:pageBreakBefore w:val="false"/>
        <w:spacing w:before="298" w:after="0" w:line="297"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dangerous instrument</w:t>
      </w:r>
    </w:p>
    <w:p>
      <w:pPr>
        <w:pageBreakBefore w:val="false"/>
        <w:spacing w:before="299"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what appears to be a pistol, revolver, rifle, shotgun, machine gun or other firearm.</w:t>
      </w:r>
    </w:p>
    <w:p>
      <w:pPr>
        <w:pageBreakBefore w:val="false"/>
        <w:spacing w:before="297" w:after="0" w:line="298"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304" w:after="283" w:line="291"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PHYSICAL INJURY means impairment of physical condition or substantial pain.</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280" w:after="0" w:line="284" w:lineRule="exact"/>
        <w:ind w:right="0" w:left="0" w:firstLine="504"/>
        <w:jc w:val="both"/>
        <w:textAlignment w:val="baseline"/>
        <w:rPr>
          <w:rFonts w:ascii="Arial" w:hAnsi="Arial" w:eastAsia="Arial"/>
          <w:color w:val="000000"/>
          <w:spacing w:val="-2"/>
          <w:w w:val="100"/>
          <w:sz w:val="13"/>
          <w:vertAlign w:val="superscript"/>
          <w:lang w:val="en-US"/>
        </w:rPr>
      </w:pPr>
      <w:r>
        <w:pict>
          <v:line strokeweight="0.95pt" strokecolor="#000000" from="108pt,471.6pt" to="252.05pt,471.6pt" style="position:absolute;mso-position-horizontal-relative:page;mso-position-vertical-relative:page;">
            <v:stroke dashstyle="solid"/>
          </v:line>
        </w:pict>
      </w:r>
      <w:r>
        <w:rPr>
          <w:rFonts w:ascii="Arial" w:hAnsi="Arial" w:eastAsia="Arial"/>
          <w:color w:val="000000"/>
          <w:spacing w:val="-2"/>
          <w:w w:val="100"/>
          <w:sz w:val="13"/>
          <w:vertAlign w:val="superscript"/>
          <w:lang w:val="en-US"/>
        </w:rPr>
        <w:t xml:space="preserve">1</w:t>
      </w:r>
      <w:r>
        <w:rPr>
          <w:rFonts w:ascii="Arial" w:hAnsi="Arial" w:eastAsia="Arial"/>
          <w:color w:val="000000"/>
          <w:spacing w:val="-2"/>
          <w:w w:val="100"/>
          <w:sz w:val="24"/>
          <w:vertAlign w:val="baseline"/>
          <w:lang w:val="en-US"/>
        </w:rPr>
        <w:t xml:space="preserve"> This charge applies when the crime was committed on or after November 1, 1992, except as to the following weapons which were added to the definition of "deadly weapon" [Penal Law § 10.00(12)] after that date:</w:t>
      </w:r>
    </w:p>
    <w:p>
      <w:pPr>
        <w:pageBreakBefore w:val="false"/>
        <w:spacing w:before="269" w:after="0" w:line="278" w:lineRule="exact"/>
        <w:ind w:right="0" w:left="0" w:firstLine="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November 1, 1995, was the effective date of an amendment to the definition of "deadly weapon" to add a "metal knuckle knife." L. 1995, ch. 219.</w:t>
      </w:r>
    </w:p>
    <w:p>
      <w:pPr>
        <w:pageBreakBefore w:val="false"/>
        <w:spacing w:before="273" w:after="0" w:line="279"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November 1, 2008, was the effective date of an amendment also to that definition to add "plastic knuckles." L. 2008, ch. 257.</w:t>
      </w:r>
    </w:p>
    <w:p>
      <w:pPr>
        <w:pageBreakBefore w:val="false"/>
        <w:spacing w:before="276" w:after="0" w:line="276"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to include the statutory additions to the definition of "deadly weapon" and the decisional law definitions of weapons as set forth in footnote 6.</w:t>
      </w:r>
    </w:p>
    <w:p>
      <w:pPr>
        <w:pageBreakBefore w:val="false"/>
        <w:spacing w:before="227" w:after="0" w:line="323" w:lineRule="exact"/>
        <w:ind w:right="0" w:left="0" w:firstLine="36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We would note that every "serious physical injury" and "death" must include physical injury.</w:t>
      </w:r>
    </w:p>
    <w:p>
      <w:pPr>
        <w:pageBreakBefore w:val="false"/>
        <w:spacing w:before="272" w:after="0" w:line="293" w:lineRule="exact"/>
        <w:ind w:right="0" w:left="0" w:firstLine="0"/>
        <w:jc w:val="center"/>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sectPr>
          <w:type w:val="nextPage"/>
          <w:pgSz w:w="12240" w:h="15840" w:orient="portrait"/>
          <w:pgMar w:bottom="644" w:top="1080" w:right="2140" w:left="2160" w:header="720" w:footer="0"/>
          <w:titlePg w:val="false"/>
          <w:textDirection w:val="lrTb"/>
        </w:sectPr>
      </w:pPr>
    </w:p>
    <w:p>
      <w:pPr>
        <w:pageBreakBefore w:val="false"/>
        <w:spacing w:before="0" w:after="0" w:line="298"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color w:val="000000"/>
          <w:spacing w:val="-4"/>
          <w:w w:val="100"/>
          <w:sz w:val="26"/>
          <w:vertAlign w:val="superscript"/>
          <w:lang w:val="en-US"/>
        </w:rPr>
        <w:t xml:space="preserve">4</w:t>
      </w:r>
      <w:r>
        <w:rPr>
          <w:rFonts w:ascii="Arial" w:hAnsi="Arial" w:eastAsia="Arial"/>
          <w:color w:val="000000"/>
          <w:spacing w:val="-4"/>
          <w:w w:val="100"/>
          <w:sz w:val="26"/>
          <w:vertAlign w:val="baseline"/>
          <w:lang w:val="en-US"/>
        </w:rPr>
        <w:t xml:space="preserve">]</w:t>
      </w:r>
    </w:p>
    <w:p>
      <w:pPr>
        <w:pageBreakBefore w:val="false"/>
        <w:spacing w:before="287" w:after="0" w:line="29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person acts INTENTIONALLY when that person's conscious objective or purpose is to cause a particular result or to engage in particular conduct. Thus, a person intentionally places or attempts to place another person in reasonable fear of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serious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death] by displaying a deadly weapon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dangerous instrument]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what appears to be a pistol, revolver, rifle, shotgun, machine gun or other firearm] when that person's conscious objective or purpose is to do so.</w:t>
      </w:r>
      <w:r>
        <w:rPr>
          <w:rFonts w:ascii="Arial" w:hAnsi="Arial" w:eastAsia="Arial"/>
          <w:color w:val="000000"/>
          <w:spacing w:val="0"/>
          <w:w w:val="100"/>
          <w:sz w:val="26"/>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00" w:after="0" w:line="299" w:lineRule="exact"/>
        <w:ind w:right="0" w:left="72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DEADLY WEAPON means:</w:t>
      </w:r>
    </w:p>
    <w:p>
      <w:pPr>
        <w:pageBreakBefore w:val="false"/>
        <w:spacing w:before="296" w:after="0" w:line="318"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2"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loaded weapon from which a shot, readily capable of producing death or other serious physical injury, may be discharged.</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32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323"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32" w:after="496" w:line="316"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metal knuckles, defined as a metal object with multiple holes,</w:t>
      </w:r>
    </w:p>
    <w:p>
      <w:pPr>
        <w:pageBreakBefore w:val="false"/>
        <w:spacing w:before="277" w:after="0" w:line="295" w:lineRule="exact"/>
        <w:ind w:right="0" w:left="288" w:firstLine="0"/>
        <w:jc w:val="left"/>
        <w:textAlignment w:val="baseline"/>
        <w:rPr>
          <w:rFonts w:ascii="Arial" w:hAnsi="Arial" w:eastAsia="Arial"/>
          <w:color w:val="000000"/>
          <w:spacing w:val="0"/>
          <w:w w:val="100"/>
          <w:sz w:val="17"/>
          <w:vertAlign w:val="baseline"/>
          <w:lang w:val="en-US"/>
        </w:rPr>
      </w:pPr>
      <w:r>
        <w:pict>
          <v:line strokeweight="1.2pt" strokecolor="#000000" from="107.8pt,656.65pt" to="252.05pt,656.6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24"/>
          <w:vertAlign w:val="baseline"/>
          <w:lang w:val="en-US"/>
        </w:rPr>
        <w:t xml:space="preserve">Penal Law § 10.00(10).</w:t>
      </w:r>
    </w:p>
    <w:p>
      <w:pPr>
        <w:pageBreakBefore w:val="false"/>
        <w:spacing w:before="253" w:after="0" w:line="276" w:lineRule="exact"/>
        <w:ind w:right="0" w:left="288"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footerReference w:type="default" r:id="fId0"/>
          <w:type w:val="nextPage"/>
          <w:pgSz w:w="12240" w:h="15840" w:orient="portrait"/>
          <w:pgMar w:bottom="974" w:top="1080" w:right="2126" w:left="2156" w:header="720" w:footer="1128"/>
          <w:titlePg w:val="false"/>
          <w:textDirection w:val="lrTb"/>
        </w:sectPr>
      </w:pPr>
    </w:p>
    <w:p>
      <w:pPr>
        <w:pageBreakBefore w:val="false"/>
        <w:spacing w:before="0" w:after="0"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through which individual places his or her fingers so that a metal bar rests atop the individual's knuckles.</w:t>
      </w:r>
    </w:p>
    <w:p>
      <w:pPr>
        <w:pageBreakBefore w:val="false"/>
        <w:spacing w:before="32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325"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dagger</w:t>
      </w:r>
    </w:p>
    <w:p>
      <w:pPr>
        <w:pageBreakBefore w:val="false"/>
        <w:spacing w:before="330"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blackjack</w:t>
      </w:r>
    </w:p>
    <w:p>
      <w:pPr>
        <w:pageBreakBefore w:val="false"/>
        <w:spacing w:before="327" w:after="0" w:line="318"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plastic knuckles.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00"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[DANGEROUS INSTRUMENT means any instrument, article or substance (including a vehicle) which, under the circumstances in which it is used, attempted to be used, or threatened to be used, is readily capable of causing death or other serious physical injury. Under that definition, death or other serious physical injury need not, in fact, be caused.]</w:t>
      </w:r>
      <w:r>
        <w:rPr>
          <w:rFonts w:ascii="Arial" w:hAnsi="Arial" w:eastAsia="Arial"/>
          <w:color w:val="000000"/>
          <w:spacing w:val="0"/>
          <w:w w:val="100"/>
          <w:sz w:val="26"/>
          <w:vertAlign w:val="superscript"/>
          <w:lang w:val="en-US"/>
        </w:rPr>
        <w:t xml:space="preserve">7</w:t>
      </w:r>
      <w:r>
        <w:rPr>
          <w:rFonts w:ascii="Arial" w:hAnsi="Arial" w:eastAsia="Arial"/>
          <w:color w:val="000000"/>
          <w:spacing w:val="0"/>
          <w:w w:val="100"/>
          <w:sz w:val="16"/>
          <w:vertAlign w:val="baseline"/>
          <w:lang w:val="en-US"/>
        </w:rPr>
        <w:t xml:space="preserve">
</w:t>
      </w:r>
    </w:p>
    <w:p>
      <w:pPr>
        <w:pageBreakBefore w:val="false"/>
        <w:spacing w:before="309" w:after="252" w:line="297"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[The element that the person DISPLAYS WHAT APPEARS TO BE A PISTOL, REVOLVER, RIFLE, SHOTGUN, MACHINE GUN OR OTHER FIREARM does not require the People to prove that the object displayed was actually a firearm. What the People are required to prove is that the person consciously displayed, or manifested the presence of, something that could reasonably be perceived as a pistol, revolver, rifle, shotgun, machine gun or other firearm and that the person to whom the item was displayed or manifested perceived it as</w:t>
      </w:r>
    </w:p>
    <w:p>
      <w:pPr>
        <w:pageBreakBefore w:val="false"/>
        <w:spacing w:before="303" w:after="0" w:line="277" w:lineRule="exact"/>
        <w:ind w:right="0" w:left="0" w:firstLine="0"/>
        <w:jc w:val="both"/>
        <w:textAlignment w:val="baseline"/>
        <w:rPr>
          <w:rFonts w:ascii="Arial" w:hAnsi="Arial" w:eastAsia="Arial"/>
          <w:color w:val="000000"/>
          <w:spacing w:val="0"/>
          <w:w w:val="100"/>
          <w:sz w:val="17"/>
          <w:vertAlign w:val="baseline"/>
          <w:lang w:val="en-US"/>
        </w:rPr>
      </w:pPr>
      <w:r>
        <w:pict>
          <v:line strokeweight="0.95pt" strokecolor="#000000" from="107.3pt,516.5pt" to="252.05pt,516.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6 </w:t>
      </w:r>
      <w:r>
        <w:rPr>
          <w:rFonts w:ascii="Arial" w:hAnsi="Arial" w:eastAsia="Arial"/>
          <w:color w:val="000000"/>
          <w:spacing w:val="0"/>
          <w:w w:val="100"/>
          <w:sz w:val="24"/>
          <w:vertAlign w:val="baseline"/>
          <w:lang w:val="en-US"/>
        </w:rPr>
        <w:t xml:space="preserve">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pageBreakBefore w:val="false"/>
        <w:spacing w:before="273" w:after="0" w:line="277" w:lineRule="exact"/>
        <w:ind w:right="0" w:left="432"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color w:val="000000"/>
          <w:spacing w:val="0"/>
          <w:w w:val="100"/>
          <w:sz w:val="24"/>
          <w:vertAlign w:val="baseline"/>
          <w:lang w:val="en-US"/>
        </w:rPr>
        <w:t xml:space="preserve">Penal Law § 10.00(13).</w:t>
      </w:r>
    </w:p>
    <w:p>
      <w:pPr>
        <w:sectPr>
          <w:type w:val="nextPage"/>
          <w:pgSz w:w="12240" w:h="15840" w:orient="portrait"/>
          <w:pgMar w:bottom="974" w:top="1080" w:right="2136" w:left="2146" w:header="720" w:footer="1123"/>
          <w:titlePg w:val="false"/>
          <w:textDirection w:val="lrTb"/>
        </w:sectPr>
      </w:pPr>
    </w:p>
    <w:p>
      <w:pPr>
        <w:pageBreakBefore w:val="false"/>
        <w:spacing w:before="50" w:after="0" w:line="293"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 pistol, revolver, rifle, shotgun, machine gun or other firearm.</w:t>
      </w:r>
      <w:r>
        <w:rPr>
          <w:rFonts w:ascii="Arial" w:hAnsi="Arial" w:eastAsia="Arial"/>
          <w:color w:val="000000"/>
          <w:spacing w:val="-1"/>
          <w:w w:val="100"/>
          <w:sz w:val="26"/>
          <w:vertAlign w:val="superscript"/>
          <w:lang w:val="en-US"/>
        </w:rPr>
        <w:t xml:space="preserve">8</w:t>
      </w:r>
      <w:r>
        <w:rPr>
          <w:rFonts w:ascii="Arial" w:hAnsi="Arial" w:eastAsia="Arial"/>
          <w:color w:val="000000"/>
          <w:spacing w:val="-1"/>
          <w:w w:val="100"/>
          <w:sz w:val="26"/>
          <w:vertAlign w:val="baseline"/>
          <w:lang w:val="en-US"/>
        </w:rPr>
        <w:t xml:space="preserve">]</w:t>
      </w:r>
    </w:p>
    <w:p>
      <w:pPr>
        <w:pageBreakBefore w:val="false"/>
        <w:spacing w:before="301" w:after="0" w:line="297"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297" w:after="0" w:line="297"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1"/>
          <w:u w:val="single"/>
          <w:vertAlign w:val="baseline"/>
          <w:lang w:val="en-US"/>
        </w:rPr>
        <w:t xml:space="preserve"> (date) </w:t>
      </w:r>
      <w:r>
        <w:rPr>
          <w:rFonts w:ascii="Arial" w:hAnsi="Arial" w:eastAsia="Arial"/>
          <w:color w:val="000000"/>
          <w:spacing w:val="0"/>
          <w:w w:val="100"/>
          <w:sz w:val="26"/>
          <w:vertAlign w:val="baseline"/>
          <w:lang w:val="en-US"/>
        </w:rPr>
        <w:t xml:space="preserve"> , in the county of </w:t>
      </w:r>
      <w:r>
        <w:rPr>
          <w:rFonts w:ascii="Arial" w:hAnsi="Arial" w:eastAsia="Arial"/>
          <w:i w:val="true"/>
          <w:color w:val="000000"/>
          <w:spacing w:val="0"/>
          <w:w w:val="100"/>
          <w:sz w:val="21"/>
          <w:u w:val="single"/>
          <w:vertAlign w:val="baseline"/>
          <w:lang w:val="en-US"/>
        </w:rPr>
        <w:t xml:space="preserve"> (county) </w:t>
      </w:r>
      <w:r>
        <w:rPr>
          <w:rFonts w:ascii="Arial" w:hAnsi="Arial" w:eastAsia="Arial"/>
          <w:color w:val="000000"/>
          <w:spacing w:val="0"/>
          <w:w w:val="100"/>
          <w:sz w:val="26"/>
          <w:vertAlign w:val="baseline"/>
          <w:lang w:val="en-US"/>
        </w:rPr>
        <w:t xml:space="preserve"> , the defendant, </w:t>
      </w:r>
      <w:r>
        <w:rPr>
          <w:rFonts w:ascii="Arial" w:hAnsi="Arial" w:eastAsia="Arial"/>
          <w:i w:val="true"/>
          <w:color w:val="000000"/>
          <w:spacing w:val="0"/>
          <w:w w:val="100"/>
          <w:sz w:val="21"/>
          <w:u w:val="single"/>
          <w:vertAlign w:val="baseline"/>
          <w:lang w:val="en-US"/>
        </w:rPr>
        <w:t xml:space="preserve"> (defendant's name) </w:t>
      </w:r>
      <w:r>
        <w:rPr>
          <w:rFonts w:ascii="Arial" w:hAnsi="Arial" w:eastAsia="Arial"/>
          <w:color w:val="000000"/>
          <w:spacing w:val="0"/>
          <w:w w:val="100"/>
          <w:sz w:val="26"/>
          <w:vertAlign w:val="baseline"/>
          <w:lang w:val="en-US"/>
        </w:rPr>
        <w:t xml:space="preserve"> , placed or attempted to place </w:t>
      </w:r>
      <w:r>
        <w:rPr>
          <w:rFonts w:ascii="Arial" w:hAnsi="Arial" w:eastAsia="Arial"/>
          <w:i w:val="true"/>
          <w:color w:val="000000"/>
          <w:spacing w:val="0"/>
          <w:w w:val="100"/>
          <w:sz w:val="21"/>
          <w:u w:val="single"/>
          <w:vertAlign w:val="baseline"/>
          <w:lang w:val="en-US"/>
        </w:rPr>
        <w:t xml:space="preserve">(specify) </w:t>
      </w:r>
      <w:r>
        <w:rPr>
          <w:rFonts w:ascii="Arial" w:hAnsi="Arial" w:eastAsia="Arial"/>
          <w:color w:val="000000"/>
          <w:spacing w:val="0"/>
          <w:w w:val="100"/>
          <w:sz w:val="26"/>
          <w:vertAlign w:val="baseline"/>
          <w:lang w:val="en-US"/>
        </w:rPr>
        <w:t xml:space="preserve"> in reasonable fear of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serious physical injury]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death], by displaying a deadly weapon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dangerous instrument] [</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what appeared to be a pistol, revolver, rifle, shotgun, machine gun or other firearm]; and</w:t>
      </w:r>
    </w:p>
    <w:p>
      <w:pPr>
        <w:pageBreakBefore w:val="false"/>
        <w:numPr>
          <w:ilvl w:val="0"/>
          <w:numId w:val="1"/>
        </w:numPr>
        <w:tabs>
          <w:tab w:val="clear" w:pos="720"/>
          <w:tab w:val="left" w:pos="1440"/>
        </w:tabs>
        <w:spacing w:before="307" w:after="0" w:line="293"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intentionally.</w:t>
      </w:r>
    </w:p>
    <w:p>
      <w:pPr>
        <w:pageBreakBefore w:val="false"/>
        <w:spacing w:before="294" w:after="0" w:line="297" w:lineRule="exact"/>
        <w:ind w:right="0" w:left="0" w:firstLine="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If you find the People have proven beyond a reasonable doubt both of those elements, you must find the defendant guilty of this crime.</w:t>
      </w:r>
    </w:p>
    <w:p>
      <w:pPr>
        <w:pageBreakBefore w:val="false"/>
        <w:spacing w:before="295" w:after="5729"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either one or both of those elements, you must find the defendant not guilty of this crime.</w:t>
      </w:r>
    </w:p>
    <w:p>
      <w:pPr>
        <w:spacing w:before="295" w:after="5729" w:line="300" w:lineRule="exact"/>
        <w:sectPr>
          <w:type w:val="nextPage"/>
          <w:pgSz w:w="12240" w:h="15840" w:orient="portrait"/>
          <w:pgMar w:bottom="970" w:top="1040" w:right="2133" w:left="2149" w:header="720" w:footer="1128"/>
          <w:titlePg w:val="false"/>
          <w:textDirection w:val="lrTb"/>
        </w:sectPr>
      </w:pPr>
    </w:p>
    <w:p>
      <w:pPr>
        <w:pageBreakBefore w:val="false"/>
        <w:spacing w:before="286" w:after="0" w:line="287" w:lineRule="exact"/>
        <w:ind w:right="0" w:left="0" w:firstLine="360"/>
        <w:jc w:val="both"/>
        <w:textAlignment w:val="baseline"/>
        <w:rPr>
          <w:rFonts w:ascii="Arial" w:hAnsi="Arial" w:eastAsia="Arial"/>
          <w:color w:val="000000"/>
          <w:spacing w:val="0"/>
          <w:w w:val="100"/>
          <w:sz w:val="17"/>
          <w:vertAlign w:val="baseline"/>
          <w:lang w:val="en-US"/>
        </w:rPr>
      </w:pPr>
      <w:r>
        <w:pict>
          <v:line strokeweight="1.2pt" strokecolor="#000000" from="106.95pt,669.1pt" to="252.05pt,669.1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8 </w:t>
      </w:r>
      <w:r>
        <w:rPr>
          <w:rFonts w:ascii="Arial" w:hAnsi="Arial" w:eastAsia="Arial"/>
          <w:i w:val="true"/>
          <w:color w:val="000000"/>
          <w:spacing w:val="0"/>
          <w:w w:val="100"/>
          <w:sz w:val="24"/>
          <w:vertAlign w:val="baseline"/>
          <w:lang w:val="en-US"/>
        </w:rPr>
        <w:t xml:space="preserve">See People v Lopez</w:t>
      </w:r>
      <w:r>
        <w:rPr>
          <w:rFonts w:ascii="Arial" w:hAnsi="Arial" w:eastAsia="Arial"/>
          <w:color w:val="000000"/>
          <w:spacing w:val="0"/>
          <w:w w:val="100"/>
          <w:sz w:val="24"/>
          <w:vertAlign w:val="baseline"/>
          <w:lang w:val="en-US"/>
        </w:rPr>
        <w:t xml:space="preserve">, 73 NY2d 214 (1989); </w:t>
      </w:r>
      <w:r>
        <w:rPr>
          <w:rFonts w:ascii="Arial" w:hAnsi="Arial" w:eastAsia="Arial"/>
          <w:i w:val="true"/>
          <w:color w:val="000000"/>
          <w:spacing w:val="0"/>
          <w:w w:val="100"/>
          <w:sz w:val="24"/>
          <w:vertAlign w:val="baseline"/>
          <w:lang w:val="en-US"/>
        </w:rPr>
        <w:t xml:space="preserve">People v Baskerville</w:t>
      </w:r>
      <w:r>
        <w:rPr>
          <w:rFonts w:ascii="Arial" w:hAnsi="Arial" w:eastAsia="Arial"/>
          <w:color w:val="000000"/>
          <w:spacing w:val="0"/>
          <w:w w:val="100"/>
          <w:sz w:val="24"/>
          <w:vertAlign w:val="baseline"/>
          <w:lang w:val="en-US"/>
        </w:rPr>
        <w:t xml:space="preserve">, 60 NY2d 374 (1983).</w:t>
      </w:r>
    </w:p>
    <w:sectPr>
      <w:type w:val="continuous"/>
      <w:pgSz w:w="12240" w:h="15840" w:orient="portrait"/>
      <w:pgMar w:bottom="970" w:top="1040" w:right="2143" w:left="2139" w:header="720" w:footer="112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0"/>
      </w:tabs>
      <w:spacing w:before="0" w:after="0" w:line="293"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