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2" w:after="0" w:line="37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Lesser Included Offenses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6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 am submitting for your consideration the offense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 the lesser included crime)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which was not mentioned at the beginning of the trial.</w:t>
      </w:r>
    </w:p>
    <w:p>
      <w:pPr>
        <w:pageBreakBefore w:val="false"/>
        <w:spacing w:before="36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crime is called a lesser included offense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 the  charged crime)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As a result, our law requires that the jury consider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 the charged crime)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the lesser included crime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as follows: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69" w:after="0" w:line="24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You can find the defendant not guilty of both charges, or guilty of one of the two charges. Thus, you will consider 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(specify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9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100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3</w:t>
      </w:r>
    </w:p>
    <w:p>
      <w:pPr>
        <w:pageBreakBefore w:val="false"/>
        <w:spacing w:before="0" w:after="0" w:line="192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the charged crime)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 render a verdict of guilty or not guilty. If</w:t>
      </w:r>
    </w:p>
    <w:p>
      <w:pPr>
        <w:pageBreakBefore w:val="false"/>
        <w:spacing w:before="57" w:after="0" w:line="136" w:lineRule="exact"/>
        <w:ind w:right="0" w:left="74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4</w:t>
      </w:r>
    </w:p>
    <w:p>
      <w:pPr>
        <w:pageBreakBefore w:val="false"/>
        <w:spacing w:before="3" w:after="0" w:line="3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your verdict is guilty, you will not consider </w:t>
      </w:r>
      <w:r>
        <w:rPr>
          <w:rFonts w:ascii="Arial" w:hAnsi="Arial" w:eastAsia="Arial"/>
          <w:strike w:val="false"/>
          <w:color w:val="000000"/>
          <w:spacing w:val="4"/>
          <w:w w:val="100"/>
          <w:sz w:val="29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4"/>
          <w:w w:val="100"/>
          <w:sz w:val="28"/>
          <w:u w:val="single"/>
          <w:vertAlign w:val="baseline"/>
          <w:lang w:val="en-US"/>
        </w:rPr>
        <w:t xml:space="preserve">specify the lesser</w:t>
      </w:r>
    </w:p>
    <w:p>
      <w:pPr>
        <w:pageBreakBefore w:val="false"/>
        <w:tabs>
          <w:tab w:val="right" w:leader="none" w:pos="7920"/>
        </w:tabs>
        <w:spacing w:before="0" w:after="0" w:line="19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included crime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).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your verdict is not guilty, then you will</w:t>
      </w:r>
    </w:p>
    <w:p>
      <w:pPr>
        <w:pageBreakBefore w:val="false"/>
        <w:spacing w:before="0" w:after="0" w:line="133" w:lineRule="exact"/>
        <w:ind w:right="0" w:left="20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5</w:t>
      </w:r>
    </w:p>
    <w:p>
      <w:pPr>
        <w:pageBreakBefore w:val="false"/>
        <w:spacing w:before="0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consider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the lesser included crime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9"/>
          <w:u w:val="single"/>
          <w:vertAlign w:val="baseline"/>
          <w:lang w:val="en-US"/>
        </w:rPr>
        <w:t xml:space="preserve">).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u w:val="single"/>
          <w:vertAlign w:val="baseline"/>
          <w:lang w:val="en-US"/>
        </w:rPr>
        <w:t xml:space="preserve">6</w:t>
      </w:r>
    </w:p>
    <w:p>
      <w:pPr>
        <w:sectPr>
          <w:type w:val="nextPage"/>
          <w:pgSz w:w="12240" w:h="15840" w:orient="portrait"/>
          <w:pgMar w:bottom="8424" w:top="1420" w:right="212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3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This charge contemplates a single charged crime and a single lesser included offense; in other circumstances, the court should modify as necessary.</w:t>
      </w: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42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CPL 300.50(1).</w:t>
      </w: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47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4"/>
          <w:vertAlign w:val="baseline"/>
          <w:lang w:val="en-US"/>
        </w:rPr>
        <w:t xml:space="preserve">CPL 300.50(4).</w:t>
      </w: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48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People v. Boettcher</w:t>
      </w: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, 69 N.Y.2d 174 (1987).</w:t>
      </w: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47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CPL 300.50(4).</w:t>
      </w:r>
    </w:p>
    <w:p>
      <w:pPr>
        <w:pageBreakBefore w:val="false"/>
        <w:numPr>
          <w:ilvl w:val="0"/>
          <w:numId w:val="1"/>
        </w:numPr>
        <w:tabs>
          <w:tab w:val="clear" w:pos="216"/>
          <w:tab w:val="left" w:pos="288"/>
        </w:tabs>
        <w:spacing w:before="247" w:after="0" w:line="300" w:lineRule="exact"/>
        <w:ind w:right="0" w:left="72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CPL 300.50(4); </w:t>
      </w: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People v. Boettcher</w:t>
      </w: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, </w:t>
      </w: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supra.</w:t>
      </w:r>
    </w:p>
    <w:sectPr>
      <w:type w:val="nextPage"/>
      <w:pgSz w:w="12240" w:h="15840" w:orient="portrait"/>
      <w:pgMar w:bottom="10304" w:top="142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216"/>
        </w:tabs>
      </w:pP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