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02" w:lineRule="exact"/>
        <w:ind w:right="0" w:left="0" w:firstLine="0"/>
        <w:jc w:val="center"/>
        <w:textAlignment w:val="baseline"/>
        <w:rPr>
          <w:rFonts w:ascii="Arial" w:hAnsi="Arial" w:eastAsia="Arial"/>
          <w:b w:val="true"/>
          <w:strike w:val="false"/>
          <w:color w:val="000000"/>
          <w:spacing w:val="12"/>
          <w:w w:val="100"/>
          <w:sz w:val="26"/>
          <w:vertAlign w:val="baseline"/>
          <w:lang w:val="en-US"/>
        </w:rPr>
      </w:pPr>
      <w:r>
        <w:rPr>
          <w:rFonts w:ascii="Arial" w:hAnsi="Arial" w:eastAsia="Arial"/>
          <w:b w:val="true"/>
          <w:strike w:val="false"/>
          <w:color w:val="000000"/>
          <w:spacing w:val="12"/>
          <w:w w:val="100"/>
          <w:sz w:val="26"/>
          <w:vertAlign w:val="baseline"/>
          <w:lang w:val="en-US"/>
        </w:rPr>
        <w:t xml:space="preserve">INDICTMENT IS NOT EVIDENCE</w:t>
      </w:r>
    </w:p>
    <w:p>
      <w:pPr>
        <w:pageBreakBefore w:val="false"/>
        <w:spacing w:before="333" w:after="0" w:line="326" w:lineRule="exact"/>
        <w:ind w:right="0" w:left="0" w:firstLine="720"/>
        <w:jc w:val="both"/>
        <w:textAlignment w:val="baseline"/>
        <w:rPr>
          <w:rFonts w:ascii="Arial" w:hAnsi="Arial" w:eastAsia="Arial"/>
          <w:strike w:val="false"/>
          <w:color w:val="000000"/>
          <w:spacing w:val="2"/>
          <w:w w:val="100"/>
          <w:sz w:val="26"/>
          <w:vertAlign w:val="baseline"/>
          <w:lang w:val="en-US"/>
        </w:rPr>
      </w:pPr>
      <w:r>
        <w:rPr>
          <w:rFonts w:ascii="Arial" w:hAnsi="Arial" w:eastAsia="Arial"/>
          <w:strike w:val="false"/>
          <w:color w:val="000000"/>
          <w:spacing w:val="2"/>
          <w:w w:val="100"/>
          <w:sz w:val="26"/>
          <w:vertAlign w:val="baseline"/>
          <w:lang w:val="en-US"/>
        </w:rPr>
        <w:t xml:space="preserve">The charge(s) in this case (is/are) set forth in a document known as an indictment. The indictment simply states the charge(s). Neither the indictment itself nor the fact that an indictment has been filed constitutes evidence. The defendant has pleaded not guilty to the charge(s) contained in the indictment, and the trial is to decide whether the defendant is guilty or not guilty.</w:t>
      </w:r>
      <w:r>
        <w:rPr>
          <w:rFonts w:ascii="Arial" w:hAnsi="Arial" w:eastAsia="Arial"/>
          <w:strike w:val="false"/>
          <w:color w:val="000000"/>
          <w:spacing w:val="2"/>
          <w:w w:val="100"/>
          <w:sz w:val="16"/>
          <w:vertAlign w:val="baseline"/>
          <w:lang w:val="en-US"/>
        </w:rPr>
        <w:t xml:space="preserve">1</w:t>
      </w:r>
    </w:p>
    <w:p>
      <w:pPr>
        <w:sectPr>
          <w:type w:val="nextPage"/>
          <w:pgSz w:w="12240" w:h="15840" w:orient="portrait"/>
          <w:pgMar w:bottom="11344" w:top="1460" w:right="2160" w:left="2160" w:header="720" w:footer="720"/>
          <w:titlePg w:val="false"/>
          <w:textDirection w:val="lrTb"/>
        </w:sectPr>
      </w:pPr>
    </w:p>
    <w:p>
      <w:pPr>
        <w:pageBreakBefore w:val="false"/>
        <w:spacing w:before="24" w:after="0" w:line="277" w:lineRule="exact"/>
        <w:ind w:right="0" w:left="0" w:firstLine="0"/>
        <w:jc w:val="left"/>
        <w:textAlignment w:val="baseline"/>
        <w:rPr>
          <w:rFonts w:ascii="Arial" w:hAnsi="Arial" w:eastAsia="Arial"/>
          <w:strike w:val="false"/>
          <w:color w:val="000000"/>
          <w:spacing w:val="1"/>
          <w:w w:val="100"/>
          <w:sz w:val="25"/>
          <w:vertAlign w:val="baseline"/>
          <w:lang w:val="en-US"/>
        </w:rPr>
      </w:pPr>
      <w:r>
        <w:rPr>
          <w:rFonts w:ascii="Arial" w:hAnsi="Arial" w:eastAsia="Arial"/>
          <w:strike w:val="false"/>
          <w:color w:val="000000"/>
          <w:spacing w:val="1"/>
          <w:w w:val="100"/>
          <w:sz w:val="25"/>
          <w:vertAlign w:val="baseline"/>
          <w:lang w:val="en-US"/>
        </w:rPr>
        <w:t xml:space="preserve">1. </w:t>
      </w:r>
      <w:r>
        <w:rPr>
          <w:rFonts w:ascii="Arial" w:hAnsi="Arial" w:eastAsia="Arial"/>
          <w:i w:val="true"/>
          <w:strike w:val="false"/>
          <w:color w:val="000000"/>
          <w:spacing w:val="1"/>
          <w:w w:val="100"/>
          <w:sz w:val="24"/>
          <w:vertAlign w:val="baseline"/>
          <w:lang w:val="en-US"/>
        </w:rPr>
        <w:t xml:space="preserve">See People v. Greaves</w:t>
      </w:r>
      <w:r>
        <w:rPr>
          <w:rFonts w:ascii="Arial" w:hAnsi="Arial" w:eastAsia="Arial"/>
          <w:strike w:val="false"/>
          <w:color w:val="000000"/>
          <w:spacing w:val="1"/>
          <w:w w:val="100"/>
          <w:sz w:val="25"/>
          <w:vertAlign w:val="baseline"/>
          <w:lang w:val="en-US"/>
        </w:rPr>
        <w:t xml:space="preserve">, 94 N.Y.2d 775 (1999).</w:t>
      </w:r>
    </w:p>
    <w:sectPr>
      <w:type w:val="nextPage"/>
      <w:pgSz w:w="12240" w:h="15840" w:orient="portrait"/>
      <w:pgMar w:bottom="13644" w:top="1440" w:right="4456" w:left="2184"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