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BC5A" w14:textId="77777777" w:rsidR="00B96606" w:rsidRDefault="00325F3A">
      <w:pPr>
        <w:spacing w:before="20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DISRUPTIVE DEFENDANT</w:t>
      </w:r>
    </w:p>
    <w:p w14:paraId="3C0FBC5B" w14:textId="77777777" w:rsidR="00B96606" w:rsidRDefault="00325F3A">
      <w:pPr>
        <w:spacing w:before="286" w:line="283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Members of the jury, as I have explained, this case must be decided on the evidence and the evidence alone. The defendant’s conduct in this courtroom is not evidence. [Likewise, his presence or absence is not evidence.] Therefore, you must disregard the de</w:t>
      </w:r>
      <w:r>
        <w:rPr>
          <w:rFonts w:ascii="Arial" w:eastAsia="Arial" w:hAnsi="Arial"/>
          <w:color w:val="000000"/>
          <w:spacing w:val="-2"/>
          <w:sz w:val="24"/>
        </w:rPr>
        <w:t>fendant’s conduct [and his</w:t>
      </w:r>
    </w:p>
    <w:p w14:paraId="3C0FBC5C" w14:textId="3C01EDE9" w:rsidR="00B96606" w:rsidRDefault="00325F3A">
      <w:pPr>
        <w:spacing w:before="32" w:line="283" w:lineRule="exact"/>
        <w:textAlignment w:val="baseline"/>
        <w:rPr>
          <w:rFonts w:ascii="Arial" w:eastAsia="Arial" w:hAnsi="Arial"/>
          <w:color w:val="000000"/>
          <w:spacing w:val="-3"/>
          <w:sz w:val="16"/>
        </w:rPr>
      </w:pPr>
      <w:r>
        <w:rPr>
          <w:rFonts w:ascii="Arial" w:eastAsia="Arial" w:hAnsi="Arial"/>
          <w:color w:val="000000"/>
          <w:spacing w:val="-3"/>
          <w:sz w:val="24"/>
        </w:rPr>
        <w:t>absence] and you must not consider it [either] in any way for any purpose.</w:t>
      </w:r>
      <w:r>
        <w:rPr>
          <w:rFonts w:ascii="Arial" w:eastAsia="Arial" w:hAnsi="Arial"/>
          <w:color w:val="000000"/>
          <w:spacing w:val="-3"/>
          <w:sz w:val="24"/>
          <w:vertAlign w:val="superscript"/>
        </w:rPr>
        <w:t>1</w:t>
      </w:r>
      <w:r>
        <w:rPr>
          <w:rFonts w:ascii="Arial" w:eastAsia="Arial" w:hAnsi="Arial"/>
          <w:color w:val="000000"/>
          <w:spacing w:val="-3"/>
          <w:sz w:val="16"/>
        </w:rPr>
        <w:t xml:space="preserve"> </w:t>
      </w:r>
    </w:p>
    <w:p w14:paraId="5B8101D6" w14:textId="57492610" w:rsidR="00325F3A" w:rsidRDefault="00325F3A">
      <w:pPr>
        <w:spacing w:before="32" w:line="283" w:lineRule="exact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rFonts w:ascii="Arial" w:eastAsia="Arial" w:hAnsi="Arial"/>
          <w:color w:val="000000"/>
          <w:spacing w:val="-3"/>
          <w:sz w:val="24"/>
        </w:rPr>
        <w:t>___________________</w:t>
      </w:r>
    </w:p>
    <w:p w14:paraId="3C0FBC5F" w14:textId="0D44405C" w:rsidR="00B96606" w:rsidRPr="00325F3A" w:rsidRDefault="00325F3A" w:rsidP="00325F3A">
      <w:pPr>
        <w:spacing w:before="2561"/>
        <w:ind w:right="576"/>
        <w:jc w:val="both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1.</w:t>
      </w:r>
      <w:r>
        <w:rPr>
          <w:rFonts w:ascii="Arial" w:eastAsia="Arial" w:hAnsi="Arial"/>
          <w:i/>
          <w:color w:val="000000"/>
          <w:spacing w:val="-1"/>
          <w:sz w:val="24"/>
        </w:rPr>
        <w:t xml:space="preserve">See People v. </w:t>
      </w:r>
      <w:proofErr w:type="spellStart"/>
      <w:r>
        <w:rPr>
          <w:rFonts w:ascii="Arial" w:eastAsia="Arial" w:hAnsi="Arial"/>
          <w:i/>
          <w:color w:val="000000"/>
          <w:spacing w:val="-1"/>
          <w:sz w:val="24"/>
        </w:rPr>
        <w:t>Astaci</w:t>
      </w:r>
      <w:bookmarkStart w:id="0" w:name="_GoBack"/>
      <w:bookmarkEnd w:id="0"/>
      <w:r>
        <w:rPr>
          <w:rFonts w:ascii="Arial" w:eastAsia="Arial" w:hAnsi="Arial"/>
          <w:i/>
          <w:color w:val="000000"/>
          <w:spacing w:val="-1"/>
          <w:sz w:val="24"/>
        </w:rPr>
        <w:t>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, 131 A.D.2d 686, 687 (2d Dept. 1987) (court instructed jury to disregard incident and base determination solely on evidence). </w:t>
      </w:r>
      <w:r>
        <w:rPr>
          <w:rFonts w:ascii="Arial" w:eastAsia="Arial" w:hAnsi="Arial"/>
          <w:i/>
          <w:color w:val="000000"/>
          <w:spacing w:val="-1"/>
          <w:sz w:val="24"/>
        </w:rPr>
        <w:t xml:space="preserve">See also People v. </w:t>
      </w:r>
      <w:proofErr w:type="spellStart"/>
      <w:r>
        <w:rPr>
          <w:rFonts w:ascii="Arial" w:eastAsia="Arial" w:hAnsi="Arial"/>
          <w:i/>
          <w:color w:val="000000"/>
          <w:spacing w:val="-1"/>
          <w:sz w:val="24"/>
        </w:rPr>
        <w:t>Bussi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>, 236 A.D.2d 317, 318 (1st</w:t>
      </w:r>
      <w:r>
        <w:rPr>
          <w:rFonts w:ascii="Arial" w:eastAsia="Arial" w:hAnsi="Arial"/>
          <w:color w:val="000000"/>
          <w:spacing w:val="-1"/>
          <w:sz w:val="24"/>
        </w:rPr>
        <w:t xml:space="preserve"> Dept.</w:t>
      </w:r>
      <w:r>
        <w:rPr>
          <w:rFonts w:ascii="Arial" w:eastAsia="Arial" w:hAnsi="Arial"/>
          <w:color w:val="000000"/>
          <w:sz w:val="24"/>
        </w:rPr>
        <w:t xml:space="preserve">1997) (court instructed jury to disregard disruptive conduct); </w:t>
      </w:r>
      <w:r>
        <w:rPr>
          <w:rFonts w:ascii="Arial" w:eastAsia="Arial" w:hAnsi="Arial"/>
          <w:i/>
          <w:color w:val="000000"/>
          <w:sz w:val="24"/>
        </w:rPr>
        <w:t>People v. Connor</w:t>
      </w:r>
      <w:r>
        <w:rPr>
          <w:rFonts w:ascii="Arial" w:eastAsia="Arial" w:hAnsi="Arial"/>
          <w:color w:val="000000"/>
          <w:sz w:val="24"/>
        </w:rPr>
        <w:t>, 137 A.D.2d 546, 550 (2d Dept. 1988) (court should have instructed jurors to “blot” disruptive incident from their min</w:t>
      </w:r>
      <w:r>
        <w:rPr>
          <w:rFonts w:ascii="Arial" w:eastAsia="Arial" w:hAnsi="Arial"/>
          <w:color w:val="000000"/>
          <w:sz w:val="24"/>
        </w:rPr>
        <w:t xml:space="preserve">ds); </w:t>
      </w:r>
      <w:r>
        <w:rPr>
          <w:rFonts w:ascii="Arial" w:eastAsia="Arial" w:hAnsi="Arial"/>
          <w:i/>
          <w:color w:val="000000"/>
          <w:sz w:val="24"/>
        </w:rPr>
        <w:t xml:space="preserve">People v. </w:t>
      </w:r>
      <w:proofErr w:type="spellStart"/>
      <w:r>
        <w:rPr>
          <w:rFonts w:ascii="Arial" w:eastAsia="Arial" w:hAnsi="Arial"/>
          <w:i/>
          <w:color w:val="000000"/>
          <w:sz w:val="24"/>
        </w:rPr>
        <w:t>Trippett</w:t>
      </w:r>
      <w:proofErr w:type="spellEnd"/>
      <w:r>
        <w:rPr>
          <w:rFonts w:ascii="Arial" w:eastAsia="Arial" w:hAnsi="Arial"/>
          <w:color w:val="000000"/>
          <w:sz w:val="24"/>
        </w:rPr>
        <w:t>, 121 A.D.2d 485, 486 (2d Dept. 1986) (court instructed jurors to strike incident from their minds).</w:t>
      </w:r>
    </w:p>
    <w:sectPr w:rsidR="00B96606" w:rsidRPr="00325F3A">
      <w:pgSz w:w="12240" w:h="15840"/>
      <w:pgMar w:top="1440" w:right="2155" w:bottom="7144" w:left="21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606"/>
    <w:rsid w:val="00325F3A"/>
    <w:rsid w:val="00B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BC5A"/>
  <w15:docId w15:val="{CCDD7DAC-AEB9-45C9-B7B0-1EF0E5F7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2017-12-30T20:05:00Z</dcterms:created>
  <dcterms:modified xsi:type="dcterms:W3CDTF">2017-12-30T20:08:00Z</dcterms:modified>
</cp:coreProperties>
</file>