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549E" w14:textId="1A43E782" w:rsidR="00806EC8" w:rsidRPr="00E81F48" w:rsidRDefault="00CF2519" w:rsidP="00F7216B">
      <w:pPr>
        <w:pStyle w:val="Level1"/>
        <w:widowControl/>
        <w:tabs>
          <w:tab w:val="left" w:pos="720"/>
          <w:tab w:val="left" w:pos="1440"/>
          <w:tab w:val="left" w:pos="2160"/>
          <w:tab w:val="left" w:pos="2880"/>
          <w:tab w:val="left" w:pos="3600"/>
          <w:tab w:val="left" w:pos="4320"/>
          <w:tab w:val="left" w:pos="5040"/>
          <w:tab w:val="left" w:pos="5760"/>
          <w:tab w:val="left" w:pos="6480"/>
          <w:tab w:val="left" w:pos="7200"/>
        </w:tabs>
        <w:ind w:left="0"/>
        <w:jc w:val="both"/>
        <w:rPr>
          <w:b/>
          <w:bCs/>
          <w:sz w:val="28"/>
          <w:szCs w:val="28"/>
        </w:rPr>
      </w:pPr>
      <w:r w:rsidRPr="00E81F48">
        <w:rPr>
          <w:b/>
          <w:bCs/>
          <w:sz w:val="28"/>
          <w:szCs w:val="28"/>
        </w:rPr>
        <w:t>8.</w:t>
      </w:r>
      <w:r w:rsidR="001C5712" w:rsidRPr="00E81F48">
        <w:rPr>
          <w:b/>
          <w:bCs/>
          <w:sz w:val="28"/>
          <w:szCs w:val="28"/>
        </w:rPr>
        <w:t>4</w:t>
      </w:r>
      <w:r w:rsidR="00E20D28">
        <w:rPr>
          <w:b/>
          <w:bCs/>
          <w:sz w:val="28"/>
          <w:szCs w:val="28"/>
        </w:rPr>
        <w:t>5.</w:t>
      </w:r>
      <w:r w:rsidRPr="00E81F48">
        <w:rPr>
          <w:b/>
          <w:bCs/>
          <w:sz w:val="28"/>
          <w:szCs w:val="28"/>
        </w:rPr>
        <w:t xml:space="preserve"> </w:t>
      </w:r>
      <w:r w:rsidR="00806EC8" w:rsidRPr="00E81F48">
        <w:rPr>
          <w:b/>
          <w:bCs/>
          <w:sz w:val="28"/>
          <w:szCs w:val="28"/>
        </w:rPr>
        <w:t xml:space="preserve">Statement of </w:t>
      </w:r>
      <w:r w:rsidR="00A3649E" w:rsidRPr="00E81F48">
        <w:rPr>
          <w:b/>
          <w:bCs/>
          <w:sz w:val="28"/>
          <w:szCs w:val="28"/>
        </w:rPr>
        <w:t>Pain</w:t>
      </w:r>
      <w:r w:rsidR="007B6DFB" w:rsidRPr="00E81F48">
        <w:rPr>
          <w:b/>
          <w:bCs/>
          <w:sz w:val="28"/>
          <w:szCs w:val="28"/>
        </w:rPr>
        <w:t xml:space="preserve">, </w:t>
      </w:r>
      <w:r w:rsidR="002A4500" w:rsidRPr="00E81F48">
        <w:rPr>
          <w:b/>
          <w:bCs/>
          <w:sz w:val="28"/>
          <w:szCs w:val="28"/>
        </w:rPr>
        <w:t>Illnes</w:t>
      </w:r>
      <w:r w:rsidR="000002C9" w:rsidRPr="00E81F48">
        <w:rPr>
          <w:b/>
          <w:bCs/>
          <w:sz w:val="28"/>
          <w:szCs w:val="28"/>
        </w:rPr>
        <w:t>s</w:t>
      </w:r>
      <w:r w:rsidR="007B6DFB" w:rsidRPr="00E81F48">
        <w:rPr>
          <w:b/>
          <w:bCs/>
          <w:sz w:val="28"/>
          <w:szCs w:val="28"/>
        </w:rPr>
        <w:t>,</w:t>
      </w:r>
      <w:r w:rsidR="000002C9" w:rsidRPr="00E81F48">
        <w:rPr>
          <w:b/>
          <w:bCs/>
          <w:sz w:val="28"/>
          <w:szCs w:val="28"/>
        </w:rPr>
        <w:t xml:space="preserve"> or </w:t>
      </w:r>
      <w:r w:rsidR="007B6DFB" w:rsidRPr="00E81F48">
        <w:rPr>
          <w:b/>
          <w:bCs/>
          <w:sz w:val="28"/>
          <w:szCs w:val="28"/>
        </w:rPr>
        <w:t>Physical Condition</w:t>
      </w:r>
      <w:r w:rsidR="00351266" w:rsidRPr="00E81F48">
        <w:rPr>
          <w:b/>
          <w:bCs/>
          <w:sz w:val="28"/>
          <w:szCs w:val="28"/>
        </w:rPr>
        <w:t xml:space="preserve"> by </w:t>
      </w:r>
      <w:r w:rsidR="00CA1CFD" w:rsidRPr="00E81F48">
        <w:rPr>
          <w:b/>
          <w:bCs/>
          <w:sz w:val="28"/>
          <w:szCs w:val="28"/>
        </w:rPr>
        <w:t xml:space="preserve">an </w:t>
      </w:r>
      <w:r w:rsidR="00351266" w:rsidRPr="00E81F48">
        <w:rPr>
          <w:b/>
          <w:bCs/>
          <w:sz w:val="28"/>
          <w:szCs w:val="28"/>
        </w:rPr>
        <w:t>Unavailable Declarant</w:t>
      </w:r>
    </w:p>
    <w:p w14:paraId="17F23A28" w14:textId="77777777" w:rsidR="00DF06E7" w:rsidRPr="00E81F48" w:rsidRDefault="00DF06E7" w:rsidP="00CA61C3">
      <w:pPr>
        <w:pStyle w:val="Level1"/>
        <w:widowControl/>
        <w:tabs>
          <w:tab w:val="left" w:pos="720"/>
          <w:tab w:val="left" w:pos="1440"/>
          <w:tab w:val="left" w:pos="2160"/>
          <w:tab w:val="left" w:pos="2880"/>
          <w:tab w:val="left" w:pos="3600"/>
          <w:tab w:val="left" w:pos="4320"/>
          <w:tab w:val="left" w:pos="5040"/>
          <w:tab w:val="left" w:pos="5760"/>
          <w:tab w:val="left" w:pos="6480"/>
          <w:tab w:val="left" w:pos="7200"/>
        </w:tabs>
        <w:ind w:left="0" w:right="720"/>
        <w:jc w:val="both"/>
        <w:rPr>
          <w:b/>
          <w:bCs/>
          <w:sz w:val="28"/>
          <w:szCs w:val="28"/>
        </w:rPr>
      </w:pPr>
    </w:p>
    <w:p w14:paraId="7673F5FD" w14:textId="1AD6A177" w:rsidR="00DF06E7" w:rsidRPr="00E81F48" w:rsidRDefault="00DF06E7" w:rsidP="00DF06E7">
      <w:pPr>
        <w:pStyle w:val="Level1"/>
        <w:ind w:right="720"/>
        <w:jc w:val="both"/>
        <w:rPr>
          <w:rFonts w:eastAsiaTheme="minorHAnsi"/>
          <w:b/>
          <w:bCs/>
          <w:strike/>
          <w:sz w:val="28"/>
          <w:szCs w:val="28"/>
        </w:rPr>
      </w:pPr>
      <w:r w:rsidRPr="00E81F48">
        <w:rPr>
          <w:b/>
          <w:bCs/>
          <w:sz w:val="28"/>
          <w:szCs w:val="28"/>
        </w:rPr>
        <w:t>An out-of-court statement made to a third party by a declarant who is unavailable at the time of the proceeding describing the declarant’s pain, illness, or physical condition at the time the statement is made, is admissible, provided the statement is made at a time not remote from the event that is alleged to have caused the pain, illness, or physical condition</w:t>
      </w:r>
      <w:r w:rsidR="009743AA" w:rsidRPr="00E81F48">
        <w:rPr>
          <w:b/>
          <w:bCs/>
          <w:sz w:val="28"/>
          <w:szCs w:val="28"/>
        </w:rPr>
        <w:t>.</w:t>
      </w:r>
    </w:p>
    <w:p w14:paraId="6B3FC740" w14:textId="77777777" w:rsidR="00806EC8" w:rsidRPr="00E81F48" w:rsidRDefault="00806EC8" w:rsidP="00E3543F">
      <w:pPr>
        <w:pStyle w:val="Level1"/>
        <w:widowControl/>
        <w:tabs>
          <w:tab w:val="left" w:pos="720"/>
          <w:tab w:val="left" w:pos="1440"/>
          <w:tab w:val="left" w:pos="2160"/>
          <w:tab w:val="left" w:pos="2880"/>
          <w:tab w:val="left" w:pos="3600"/>
          <w:tab w:val="left" w:pos="4320"/>
          <w:tab w:val="left" w:pos="5040"/>
          <w:tab w:val="left" w:pos="5760"/>
          <w:tab w:val="left" w:pos="6480"/>
          <w:tab w:val="left" w:pos="7200"/>
        </w:tabs>
        <w:ind w:left="0" w:right="720"/>
        <w:jc w:val="both"/>
        <w:rPr>
          <w:b/>
          <w:bCs/>
          <w:sz w:val="28"/>
          <w:szCs w:val="28"/>
        </w:rPr>
      </w:pPr>
    </w:p>
    <w:p w14:paraId="661B4C92" w14:textId="3AAF05E4" w:rsidR="005D690D" w:rsidRPr="00E81F48" w:rsidRDefault="00015488" w:rsidP="00CA61C3">
      <w:pPr>
        <w:pStyle w:val="Level1"/>
        <w:widowControl/>
        <w:tabs>
          <w:tab w:val="left" w:pos="720"/>
          <w:tab w:val="left" w:pos="1440"/>
          <w:tab w:val="left" w:pos="2160"/>
          <w:tab w:val="left" w:pos="2880"/>
          <w:tab w:val="left" w:pos="3600"/>
          <w:tab w:val="left" w:pos="4320"/>
          <w:tab w:val="left" w:pos="5040"/>
          <w:tab w:val="left" w:pos="5760"/>
          <w:tab w:val="left" w:pos="6480"/>
          <w:tab w:val="left" w:pos="7200"/>
        </w:tabs>
        <w:ind w:left="0" w:right="720"/>
        <w:jc w:val="center"/>
        <w:rPr>
          <w:b/>
          <w:bCs/>
        </w:rPr>
      </w:pPr>
      <w:r w:rsidRPr="00E81F48">
        <w:rPr>
          <w:b/>
          <w:bCs/>
        </w:rPr>
        <w:t>Note</w:t>
      </w:r>
    </w:p>
    <w:p w14:paraId="24BDCE40" w14:textId="77777777" w:rsidR="00160549" w:rsidRPr="00E81F48" w:rsidRDefault="00160549" w:rsidP="00CA61C3">
      <w:pPr>
        <w:pStyle w:val="Level1"/>
        <w:widowControl/>
        <w:tabs>
          <w:tab w:val="left" w:pos="720"/>
          <w:tab w:val="left" w:pos="1440"/>
          <w:tab w:val="left" w:pos="2160"/>
          <w:tab w:val="left" w:pos="2880"/>
          <w:tab w:val="left" w:pos="3600"/>
          <w:tab w:val="left" w:pos="4320"/>
          <w:tab w:val="left" w:pos="5040"/>
          <w:tab w:val="left" w:pos="5760"/>
          <w:tab w:val="left" w:pos="6480"/>
          <w:tab w:val="left" w:pos="7200"/>
        </w:tabs>
        <w:ind w:left="0" w:right="720"/>
        <w:jc w:val="both"/>
        <w:rPr>
          <w:b/>
          <w:bCs/>
        </w:rPr>
      </w:pPr>
    </w:p>
    <w:p w14:paraId="209CAE8F" w14:textId="2403E318" w:rsidR="00207410" w:rsidRPr="00E81F48" w:rsidRDefault="00160549" w:rsidP="00CA61C3">
      <w:pPr>
        <w:jc w:val="both"/>
        <w:rPr>
          <w:rFonts w:eastAsia="Times New Roman"/>
          <w:sz w:val="24"/>
          <w:szCs w:val="24"/>
        </w:rPr>
      </w:pPr>
      <w:r w:rsidRPr="00E81F48">
        <w:rPr>
          <w:b/>
          <w:bCs/>
          <w:sz w:val="24"/>
          <w:szCs w:val="24"/>
        </w:rPr>
        <w:tab/>
      </w:r>
      <w:r w:rsidRPr="00E81F48">
        <w:rPr>
          <w:sz w:val="24"/>
          <w:szCs w:val="24"/>
        </w:rPr>
        <w:t>This rule is derived from a series of cases.</w:t>
      </w:r>
      <w:r w:rsidR="00E3543F" w:rsidRPr="00E81F48">
        <w:rPr>
          <w:sz w:val="24"/>
          <w:szCs w:val="24"/>
        </w:rPr>
        <w:t xml:space="preserve"> </w:t>
      </w:r>
      <w:r w:rsidR="00207410" w:rsidRPr="00E81F48">
        <w:rPr>
          <w:sz w:val="24"/>
          <w:szCs w:val="24"/>
        </w:rPr>
        <w:t xml:space="preserve">An early rationale for the rule was </w:t>
      </w:r>
      <w:r w:rsidR="005659A2" w:rsidRPr="00E81F48">
        <w:rPr>
          <w:sz w:val="24"/>
          <w:szCs w:val="24"/>
        </w:rPr>
        <w:t>set forth</w:t>
      </w:r>
      <w:r w:rsidR="00207410" w:rsidRPr="00E81F48">
        <w:rPr>
          <w:sz w:val="24"/>
          <w:szCs w:val="24"/>
        </w:rPr>
        <w:t xml:space="preserve"> in </w:t>
      </w:r>
      <w:r w:rsidR="00207410" w:rsidRPr="00E81F48">
        <w:rPr>
          <w:rFonts w:eastAsia="Times New Roman"/>
          <w:i/>
          <w:iCs/>
          <w:sz w:val="24"/>
          <w:szCs w:val="24"/>
        </w:rPr>
        <w:t>Teachout v People</w:t>
      </w:r>
      <w:r w:rsidR="00207410" w:rsidRPr="00E81F48">
        <w:rPr>
          <w:rFonts w:eastAsia="Times New Roman"/>
          <w:sz w:val="24"/>
          <w:szCs w:val="24"/>
        </w:rPr>
        <w:t xml:space="preserve"> </w:t>
      </w:r>
      <w:r w:rsidR="001B49F7" w:rsidRPr="00E81F48">
        <w:rPr>
          <w:rFonts w:eastAsia="Times New Roman"/>
          <w:sz w:val="24"/>
          <w:szCs w:val="24"/>
        </w:rPr>
        <w:t>(</w:t>
      </w:r>
      <w:r w:rsidR="00207410" w:rsidRPr="00E81F48">
        <w:rPr>
          <w:rFonts w:eastAsia="Times New Roman"/>
          <w:sz w:val="24"/>
          <w:szCs w:val="24"/>
        </w:rPr>
        <w:t>41 NY 7, 13 [1869]</w:t>
      </w:r>
      <w:r w:rsidR="001B49F7" w:rsidRPr="00E81F48">
        <w:rPr>
          <w:rFonts w:eastAsia="Times New Roman"/>
          <w:sz w:val="24"/>
          <w:szCs w:val="24"/>
        </w:rPr>
        <w:t>)</w:t>
      </w:r>
      <w:r w:rsidR="00207410" w:rsidRPr="00E81F48">
        <w:rPr>
          <w:rFonts w:eastAsia="Times New Roman"/>
          <w:sz w:val="24"/>
          <w:szCs w:val="24"/>
        </w:rPr>
        <w:t>:</w:t>
      </w:r>
    </w:p>
    <w:p w14:paraId="0B56D849" w14:textId="77777777" w:rsidR="00207410" w:rsidRPr="00E81F48" w:rsidRDefault="00207410" w:rsidP="00CA61C3">
      <w:pPr>
        <w:jc w:val="both"/>
        <w:rPr>
          <w:rFonts w:eastAsia="Times New Roman"/>
          <w:sz w:val="24"/>
          <w:szCs w:val="24"/>
        </w:rPr>
      </w:pPr>
    </w:p>
    <w:p w14:paraId="249D0957" w14:textId="00F05C14" w:rsidR="00207410" w:rsidRPr="00E81F48" w:rsidRDefault="00562FA0" w:rsidP="00CA61C3">
      <w:pPr>
        <w:ind w:left="720" w:right="720"/>
        <w:jc w:val="both"/>
        <w:rPr>
          <w:rFonts w:eastAsia="Times New Roman"/>
          <w:sz w:val="24"/>
          <w:szCs w:val="24"/>
        </w:rPr>
      </w:pPr>
      <w:r w:rsidRPr="00E81F48">
        <w:rPr>
          <w:rFonts w:eastAsia="Times New Roman"/>
          <w:sz w:val="24"/>
          <w:szCs w:val="24"/>
        </w:rPr>
        <w:t>“</w:t>
      </w:r>
      <w:r w:rsidR="00207410" w:rsidRPr="00E81F48">
        <w:rPr>
          <w:rFonts w:eastAsia="Times New Roman"/>
          <w:sz w:val="24"/>
          <w:szCs w:val="24"/>
        </w:rPr>
        <w:t xml:space="preserve">The natural and impulsive utterances of a person suffering under extreme illness, made to those who are in attendance, or present in the performance of offices of kindness, for the purpose of giving relief or alleviation, are proper evidence of the actual pressure of the symptoms which the sufferer describes. The universal consent of all mankind accords to them some credence, as indications of the state of the sufferer and they are acted upon in all ministrations for the relief of the distressed. It would be absurd to say </w:t>
      </w:r>
      <w:r w:rsidR="00FA28A3" w:rsidRPr="00E81F48">
        <w:rPr>
          <w:rFonts w:eastAsia="Times New Roman"/>
          <w:sz w:val="24"/>
          <w:szCs w:val="24"/>
        </w:rPr>
        <w:t>. . .</w:t>
      </w:r>
      <w:r w:rsidR="00207410" w:rsidRPr="00E81F48">
        <w:rPr>
          <w:rFonts w:eastAsia="Times New Roman"/>
          <w:sz w:val="24"/>
          <w:szCs w:val="24"/>
        </w:rPr>
        <w:t xml:space="preserve"> that complaints of pain, made in the usual and natural course, should not be accredited as proof of suffering</w:t>
      </w:r>
      <w:r w:rsidR="005659A2" w:rsidRPr="00E81F48">
        <w:rPr>
          <w:rFonts w:eastAsia="Times New Roman"/>
          <w:sz w:val="24"/>
          <w:szCs w:val="24"/>
        </w:rPr>
        <w:t>.</w:t>
      </w:r>
      <w:r w:rsidR="001B49F7" w:rsidRPr="00E81F48">
        <w:rPr>
          <w:rFonts w:eastAsia="Times New Roman"/>
          <w:sz w:val="24"/>
          <w:szCs w:val="24"/>
        </w:rPr>
        <w:t>”</w:t>
      </w:r>
    </w:p>
    <w:p w14:paraId="19BD892E" w14:textId="77777777" w:rsidR="005659A2" w:rsidRPr="00E81F48" w:rsidRDefault="005659A2" w:rsidP="00E3543F">
      <w:pPr>
        <w:ind w:right="720"/>
        <w:jc w:val="both"/>
        <w:rPr>
          <w:rFonts w:eastAsia="Times New Roman"/>
          <w:sz w:val="24"/>
          <w:szCs w:val="24"/>
        </w:rPr>
      </w:pPr>
    </w:p>
    <w:p w14:paraId="1461BD25" w14:textId="0159D5F4" w:rsidR="00D8192F" w:rsidRPr="00E81F48" w:rsidRDefault="00F72296" w:rsidP="00D8192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198"/>
        </w:tabs>
        <w:jc w:val="both"/>
        <w:rPr>
          <w:sz w:val="24"/>
          <w:szCs w:val="24"/>
        </w:rPr>
      </w:pPr>
      <w:r w:rsidRPr="00E81F48">
        <w:rPr>
          <w:sz w:val="24"/>
          <w:szCs w:val="24"/>
        </w:rPr>
        <w:tab/>
        <w:t xml:space="preserve">The leading case </w:t>
      </w:r>
      <w:r w:rsidR="00D7705D" w:rsidRPr="00E81F48">
        <w:rPr>
          <w:sz w:val="24"/>
          <w:szCs w:val="24"/>
        </w:rPr>
        <w:t xml:space="preserve">on the subject is </w:t>
      </w:r>
      <w:r w:rsidR="001E37E3" w:rsidRPr="00E81F48">
        <w:rPr>
          <w:i/>
          <w:iCs/>
          <w:sz w:val="24"/>
          <w:szCs w:val="24"/>
        </w:rPr>
        <w:t>Tromblee v North Am. Acc. Ins. Co</w:t>
      </w:r>
      <w:r w:rsidR="001E37E3" w:rsidRPr="00E81F48">
        <w:rPr>
          <w:sz w:val="24"/>
          <w:szCs w:val="24"/>
        </w:rPr>
        <w:t xml:space="preserve">. (173 App Div 174, 176 [3d Dept 1916], </w:t>
      </w:r>
      <w:r w:rsidR="001E37E3" w:rsidRPr="00E81F48">
        <w:rPr>
          <w:i/>
          <w:iCs/>
          <w:sz w:val="24"/>
          <w:szCs w:val="24"/>
        </w:rPr>
        <w:t>affd</w:t>
      </w:r>
      <w:r w:rsidR="001E37E3" w:rsidRPr="00E81F48">
        <w:rPr>
          <w:sz w:val="24"/>
          <w:szCs w:val="24"/>
        </w:rPr>
        <w:t xml:space="preserve"> 226 NY 615 [1919])</w:t>
      </w:r>
      <w:r w:rsidR="00D7705D" w:rsidRPr="00E81F48">
        <w:rPr>
          <w:sz w:val="24"/>
          <w:szCs w:val="24"/>
        </w:rPr>
        <w:t>.</w:t>
      </w:r>
      <w:r w:rsidR="00B621B6" w:rsidRPr="00E81F48">
        <w:rPr>
          <w:sz w:val="24"/>
          <w:szCs w:val="24"/>
        </w:rPr>
        <w:t xml:space="preserve"> </w:t>
      </w:r>
      <w:r w:rsidR="00D7705D" w:rsidRPr="00E81F48">
        <w:rPr>
          <w:sz w:val="24"/>
          <w:szCs w:val="24"/>
        </w:rPr>
        <w:t xml:space="preserve">In that case, </w:t>
      </w:r>
      <w:r w:rsidR="00E240DA" w:rsidRPr="00E81F48">
        <w:rPr>
          <w:sz w:val="24"/>
          <w:szCs w:val="24"/>
        </w:rPr>
        <w:t xml:space="preserve">the </w:t>
      </w:r>
      <w:r w:rsidR="00E25BB4" w:rsidRPr="00E81F48">
        <w:rPr>
          <w:sz w:val="24"/>
          <w:szCs w:val="24"/>
        </w:rPr>
        <w:t xml:space="preserve">plaintiff’s husband fell </w:t>
      </w:r>
      <w:r w:rsidR="00561280" w:rsidRPr="00E81F48">
        <w:rPr>
          <w:sz w:val="24"/>
          <w:szCs w:val="24"/>
        </w:rPr>
        <w:t xml:space="preserve">accidentally </w:t>
      </w:r>
      <w:r w:rsidR="00E25BB4" w:rsidRPr="00E81F48">
        <w:rPr>
          <w:sz w:val="24"/>
          <w:szCs w:val="24"/>
        </w:rPr>
        <w:t>and suffered a concussion</w:t>
      </w:r>
      <w:r w:rsidR="00D22119" w:rsidRPr="00E81F48">
        <w:rPr>
          <w:sz w:val="24"/>
          <w:szCs w:val="24"/>
        </w:rPr>
        <w:t>; the following morning he complained to his daughter of pain; and the following day he died</w:t>
      </w:r>
      <w:r w:rsidR="002047EB" w:rsidRPr="00E81F48">
        <w:rPr>
          <w:sz w:val="24"/>
          <w:szCs w:val="24"/>
        </w:rPr>
        <w:t xml:space="preserve">. The Court held that </w:t>
      </w:r>
      <w:r w:rsidR="00561280" w:rsidRPr="00E81F48">
        <w:rPr>
          <w:sz w:val="24"/>
          <w:szCs w:val="24"/>
        </w:rPr>
        <w:t>the decease</w:t>
      </w:r>
      <w:r w:rsidR="009F2B27" w:rsidRPr="00E81F48">
        <w:rPr>
          <w:sz w:val="24"/>
          <w:szCs w:val="24"/>
        </w:rPr>
        <w:t>d</w:t>
      </w:r>
      <w:r w:rsidR="00561280" w:rsidRPr="00E81F48">
        <w:rPr>
          <w:sz w:val="24"/>
          <w:szCs w:val="24"/>
        </w:rPr>
        <w:t>’s declaration of pain to his daughter was admissible</w:t>
      </w:r>
      <w:r w:rsidR="005D66E8" w:rsidRPr="00E81F48">
        <w:rPr>
          <w:sz w:val="24"/>
          <w:szCs w:val="24"/>
        </w:rPr>
        <w:t xml:space="preserve"> in that proceeding</w:t>
      </w:r>
      <w:r w:rsidR="006D58E0" w:rsidRPr="00E81F48">
        <w:rPr>
          <w:sz w:val="24"/>
          <w:szCs w:val="24"/>
        </w:rPr>
        <w:t xml:space="preserve"> </w:t>
      </w:r>
      <w:r w:rsidR="006D58E0" w:rsidRPr="00E81F48">
        <w:rPr>
          <w:rFonts w:eastAsia="Times New Roman"/>
          <w:sz w:val="24"/>
          <w:szCs w:val="24"/>
        </w:rPr>
        <w:t>(</w:t>
      </w:r>
      <w:r w:rsidR="001B49F7" w:rsidRPr="00E81F48">
        <w:rPr>
          <w:rFonts w:eastAsia="Times New Roman"/>
          <w:i/>
          <w:iCs/>
          <w:sz w:val="24"/>
          <w:szCs w:val="24"/>
        </w:rPr>
        <w:t>s</w:t>
      </w:r>
      <w:r w:rsidR="006D58E0" w:rsidRPr="00E81F48">
        <w:rPr>
          <w:rFonts w:eastAsia="Times New Roman"/>
          <w:i/>
          <w:iCs/>
          <w:sz w:val="24"/>
          <w:szCs w:val="24"/>
        </w:rPr>
        <w:t>ee</w:t>
      </w:r>
      <w:r w:rsidR="006D58E0" w:rsidRPr="00E81F48">
        <w:rPr>
          <w:rFonts w:eastAsia="Times New Roman"/>
          <w:sz w:val="24"/>
          <w:szCs w:val="24"/>
        </w:rPr>
        <w:t xml:space="preserve"> </w:t>
      </w:r>
      <w:r w:rsidR="006D58E0" w:rsidRPr="00E81F48">
        <w:rPr>
          <w:rFonts w:eastAsia="Times New Roman"/>
          <w:i/>
          <w:iCs/>
          <w:sz w:val="24"/>
          <w:szCs w:val="24"/>
        </w:rPr>
        <w:t>Jiminian v St. Barnabas Hosp.</w:t>
      </w:r>
      <w:r w:rsidR="006D58E0" w:rsidRPr="00E81F48">
        <w:rPr>
          <w:rFonts w:eastAsia="Times New Roman"/>
          <w:sz w:val="24"/>
          <w:szCs w:val="24"/>
        </w:rPr>
        <w:t>, 84 AD3d 647, 648 [1st Dept 2011] [“Plaintiff</w:t>
      </w:r>
      <w:r w:rsidR="00EF6766" w:rsidRPr="00E81F48">
        <w:rPr>
          <w:rFonts w:eastAsia="Times New Roman"/>
          <w:sz w:val="24"/>
          <w:szCs w:val="24"/>
        </w:rPr>
        <w:t>’</w:t>
      </w:r>
      <w:r w:rsidR="006D58E0" w:rsidRPr="00E81F48">
        <w:rPr>
          <w:rFonts w:eastAsia="Times New Roman"/>
          <w:sz w:val="24"/>
          <w:szCs w:val="24"/>
        </w:rPr>
        <w:t>s testimony concerning his wife</w:t>
      </w:r>
      <w:r w:rsidR="00EF6766" w:rsidRPr="00E81F48">
        <w:rPr>
          <w:rFonts w:eastAsia="Times New Roman"/>
          <w:sz w:val="24"/>
          <w:szCs w:val="24"/>
        </w:rPr>
        <w:t>’</w:t>
      </w:r>
      <w:r w:rsidR="006D58E0" w:rsidRPr="00E81F48">
        <w:rPr>
          <w:rFonts w:eastAsia="Times New Roman"/>
          <w:sz w:val="24"/>
          <w:szCs w:val="24"/>
        </w:rPr>
        <w:t>s complaints of dizziness and shortness of breath are . . . admissible as simple expressions of suffering by the injured party, who is no longer available by reason of her death, which occurred less than 12 hours following her complaints</w:t>
      </w:r>
      <w:r w:rsidR="001B49F7" w:rsidRPr="00E81F48">
        <w:rPr>
          <w:rFonts w:eastAsia="Times New Roman"/>
          <w:sz w:val="24"/>
          <w:szCs w:val="24"/>
        </w:rPr>
        <w:t>”</w:t>
      </w:r>
      <w:r w:rsidR="006D58E0" w:rsidRPr="00E81F48">
        <w:rPr>
          <w:rFonts w:eastAsia="Times New Roman"/>
          <w:sz w:val="24"/>
          <w:szCs w:val="24"/>
        </w:rPr>
        <w:t>]</w:t>
      </w:r>
      <w:r w:rsidR="00D8192F" w:rsidRPr="00E81F48">
        <w:rPr>
          <w:rFonts w:eastAsia="Times New Roman"/>
          <w:sz w:val="24"/>
          <w:szCs w:val="24"/>
        </w:rPr>
        <w:t xml:space="preserve">; </w:t>
      </w:r>
      <w:r w:rsidR="00D8192F" w:rsidRPr="00E81F48">
        <w:rPr>
          <w:i/>
          <w:iCs/>
          <w:sz w:val="24"/>
          <w:szCs w:val="24"/>
        </w:rPr>
        <w:t>but see</w:t>
      </w:r>
      <w:r w:rsidR="00D8192F" w:rsidRPr="00E81F48">
        <w:rPr>
          <w:sz w:val="24"/>
          <w:szCs w:val="24"/>
        </w:rPr>
        <w:t xml:space="preserve"> </w:t>
      </w:r>
      <w:r w:rsidR="00D8192F" w:rsidRPr="00E81F48">
        <w:rPr>
          <w:i/>
          <w:iCs/>
          <w:sz w:val="24"/>
          <w:szCs w:val="24"/>
        </w:rPr>
        <w:t>Crawford v Washington</w:t>
      </w:r>
      <w:r w:rsidR="00D8192F" w:rsidRPr="00E81F48">
        <w:rPr>
          <w:sz w:val="24"/>
          <w:szCs w:val="24"/>
        </w:rPr>
        <w:t>, 541 US 36 [2004]).</w:t>
      </w:r>
    </w:p>
    <w:p w14:paraId="22010024" w14:textId="04A1E6CC" w:rsidR="006D58E0" w:rsidRPr="00E81F48" w:rsidRDefault="006D58E0" w:rsidP="006D58E0">
      <w:pPr>
        <w:widowControl/>
        <w:shd w:val="clear" w:color="auto" w:fill="FFFFFF"/>
        <w:autoSpaceDE/>
        <w:autoSpaceDN/>
        <w:adjustRightInd/>
        <w:jc w:val="both"/>
        <w:rPr>
          <w:rFonts w:eastAsia="Times New Roman"/>
          <w:sz w:val="24"/>
          <w:szCs w:val="24"/>
        </w:rPr>
      </w:pPr>
    </w:p>
    <w:p w14:paraId="4D35A248" w14:textId="0705F6AB" w:rsidR="006D58E0" w:rsidRPr="00E81F48" w:rsidRDefault="000B097C" w:rsidP="00CA61C3">
      <w:pPr>
        <w:widowControl/>
        <w:shd w:val="clear" w:color="auto" w:fill="FFFFFF"/>
        <w:autoSpaceDE/>
        <w:autoSpaceDN/>
        <w:adjustRightInd/>
        <w:jc w:val="both"/>
        <w:rPr>
          <w:rFonts w:eastAsia="Times New Roman"/>
          <w:sz w:val="24"/>
          <w:szCs w:val="24"/>
        </w:rPr>
      </w:pPr>
      <w:r w:rsidRPr="00E81F48">
        <w:rPr>
          <w:sz w:val="24"/>
          <w:szCs w:val="24"/>
        </w:rPr>
        <w:tab/>
      </w:r>
      <w:r w:rsidR="006C1152" w:rsidRPr="00E81F48">
        <w:rPr>
          <w:sz w:val="24"/>
          <w:szCs w:val="24"/>
        </w:rPr>
        <w:t>By contrast</w:t>
      </w:r>
      <w:r w:rsidR="00C32597" w:rsidRPr="00E81F48">
        <w:rPr>
          <w:sz w:val="24"/>
          <w:szCs w:val="24"/>
        </w:rPr>
        <w:t xml:space="preserve">, </w:t>
      </w:r>
      <w:r w:rsidR="006C1152" w:rsidRPr="00E81F48">
        <w:rPr>
          <w:sz w:val="24"/>
          <w:szCs w:val="24"/>
        </w:rPr>
        <w:t>a decease</w:t>
      </w:r>
      <w:r w:rsidR="009F2B27" w:rsidRPr="00E81F48">
        <w:rPr>
          <w:sz w:val="24"/>
          <w:szCs w:val="24"/>
        </w:rPr>
        <w:t>d</w:t>
      </w:r>
      <w:r w:rsidR="006C1152" w:rsidRPr="00E81F48">
        <w:rPr>
          <w:sz w:val="24"/>
          <w:szCs w:val="24"/>
        </w:rPr>
        <w:t xml:space="preserve">’s </w:t>
      </w:r>
      <w:r w:rsidR="006E5AC7" w:rsidRPr="00E81F48">
        <w:rPr>
          <w:sz w:val="24"/>
          <w:szCs w:val="24"/>
        </w:rPr>
        <w:t xml:space="preserve">declarations of tiredness and pain </w:t>
      </w:r>
      <w:r w:rsidR="006C1152" w:rsidRPr="00E81F48">
        <w:rPr>
          <w:sz w:val="24"/>
          <w:szCs w:val="24"/>
        </w:rPr>
        <w:t xml:space="preserve">to a neighbor were </w:t>
      </w:r>
      <w:r w:rsidR="00346480" w:rsidRPr="00E81F48">
        <w:rPr>
          <w:sz w:val="24"/>
          <w:szCs w:val="24"/>
        </w:rPr>
        <w:t xml:space="preserve">held not admissible in </w:t>
      </w:r>
      <w:r w:rsidR="00D4090C" w:rsidRPr="00E81F48">
        <w:rPr>
          <w:rFonts w:eastAsia="Times New Roman"/>
          <w:i/>
          <w:iCs/>
          <w:sz w:val="24"/>
          <w:szCs w:val="24"/>
        </w:rPr>
        <w:t>Rosenberg v Equit</w:t>
      </w:r>
      <w:r w:rsidR="00B621B6" w:rsidRPr="00E81F48">
        <w:rPr>
          <w:rFonts w:eastAsia="Times New Roman"/>
          <w:i/>
          <w:iCs/>
          <w:sz w:val="24"/>
          <w:szCs w:val="24"/>
        </w:rPr>
        <w:t xml:space="preserve">able </w:t>
      </w:r>
      <w:r w:rsidR="00D4090C" w:rsidRPr="00E81F48">
        <w:rPr>
          <w:rFonts w:eastAsia="Times New Roman"/>
          <w:i/>
          <w:iCs/>
          <w:sz w:val="24"/>
          <w:szCs w:val="24"/>
        </w:rPr>
        <w:t xml:space="preserve">Life Assur. </w:t>
      </w:r>
      <w:proofErr w:type="spellStart"/>
      <w:r w:rsidR="00D4090C" w:rsidRPr="00E81F48">
        <w:rPr>
          <w:rFonts w:eastAsia="Times New Roman"/>
          <w:i/>
          <w:iCs/>
          <w:sz w:val="24"/>
          <w:szCs w:val="24"/>
        </w:rPr>
        <w:t>Soc</w:t>
      </w:r>
      <w:r w:rsidR="00B621B6" w:rsidRPr="00E81F48">
        <w:rPr>
          <w:rFonts w:eastAsia="Times New Roman"/>
          <w:i/>
          <w:iCs/>
          <w:sz w:val="24"/>
          <w:szCs w:val="24"/>
        </w:rPr>
        <w:t>y</w:t>
      </w:r>
      <w:proofErr w:type="spellEnd"/>
      <w:r w:rsidR="00D4090C" w:rsidRPr="00E81F48">
        <w:rPr>
          <w:rFonts w:eastAsia="Times New Roman"/>
          <w:i/>
          <w:iCs/>
          <w:sz w:val="24"/>
          <w:szCs w:val="24"/>
        </w:rPr>
        <w:t>. of U.S.</w:t>
      </w:r>
      <w:r w:rsidR="00D4090C" w:rsidRPr="00E81F48">
        <w:rPr>
          <w:rFonts w:eastAsia="Times New Roman"/>
          <w:sz w:val="24"/>
          <w:szCs w:val="24"/>
        </w:rPr>
        <w:t xml:space="preserve"> </w:t>
      </w:r>
      <w:r w:rsidR="00B621B6" w:rsidRPr="00E81F48">
        <w:rPr>
          <w:rFonts w:eastAsia="Times New Roman"/>
          <w:sz w:val="24"/>
          <w:szCs w:val="24"/>
        </w:rPr>
        <w:t>(</w:t>
      </w:r>
      <w:r w:rsidR="00D4090C" w:rsidRPr="00E81F48">
        <w:rPr>
          <w:rFonts w:eastAsia="Times New Roman"/>
          <w:sz w:val="24"/>
          <w:szCs w:val="24"/>
        </w:rPr>
        <w:t>148 AD2d 337, 337-</w:t>
      </w:r>
      <w:r w:rsidR="00B621B6" w:rsidRPr="00E81F48">
        <w:rPr>
          <w:rFonts w:eastAsia="Times New Roman"/>
          <w:sz w:val="24"/>
          <w:szCs w:val="24"/>
        </w:rPr>
        <w:t>3</w:t>
      </w:r>
      <w:r w:rsidR="00D4090C" w:rsidRPr="00E81F48">
        <w:rPr>
          <w:rFonts w:eastAsia="Times New Roman"/>
          <w:sz w:val="24"/>
          <w:szCs w:val="24"/>
        </w:rPr>
        <w:t>38 [1st Dept 1989]</w:t>
      </w:r>
      <w:r w:rsidR="00B621B6" w:rsidRPr="00E81F48">
        <w:rPr>
          <w:rFonts w:eastAsia="Times New Roman"/>
          <w:sz w:val="24"/>
          <w:szCs w:val="24"/>
        </w:rPr>
        <w:t>)</w:t>
      </w:r>
      <w:r w:rsidR="00346480" w:rsidRPr="00E81F48">
        <w:rPr>
          <w:rFonts w:eastAsia="Times New Roman"/>
          <w:sz w:val="24"/>
          <w:szCs w:val="24"/>
        </w:rPr>
        <w:t>.</w:t>
      </w:r>
      <w:r w:rsidR="00B621B6" w:rsidRPr="00E81F48">
        <w:rPr>
          <w:rFonts w:eastAsia="Times New Roman"/>
          <w:sz w:val="24"/>
          <w:szCs w:val="24"/>
        </w:rPr>
        <w:t xml:space="preserve"> </w:t>
      </w:r>
      <w:r w:rsidR="00B01946" w:rsidRPr="00E81F48">
        <w:rPr>
          <w:rFonts w:eastAsia="Times New Roman"/>
          <w:sz w:val="24"/>
          <w:szCs w:val="24"/>
        </w:rPr>
        <w:t xml:space="preserve">In that case, </w:t>
      </w:r>
      <w:r w:rsidR="00576BBB" w:rsidRPr="00E81F48">
        <w:rPr>
          <w:rFonts w:eastAsia="Times New Roman"/>
          <w:sz w:val="24"/>
          <w:szCs w:val="24"/>
        </w:rPr>
        <w:t xml:space="preserve">the declarations </w:t>
      </w:r>
      <w:r w:rsidR="00B25BDE" w:rsidRPr="00E81F48">
        <w:rPr>
          <w:rFonts w:eastAsia="Times New Roman"/>
          <w:sz w:val="24"/>
          <w:szCs w:val="24"/>
        </w:rPr>
        <w:t>were made “weeks” after the event that may have caused the condition</w:t>
      </w:r>
      <w:r w:rsidR="000A5A85" w:rsidRPr="00E81F48">
        <w:rPr>
          <w:rFonts w:eastAsia="Times New Roman"/>
          <w:sz w:val="24"/>
          <w:szCs w:val="24"/>
        </w:rPr>
        <w:t xml:space="preserve"> and in addition to </w:t>
      </w:r>
      <w:r w:rsidR="00B01946" w:rsidRPr="00E81F48">
        <w:rPr>
          <w:rFonts w:eastAsia="Times New Roman"/>
          <w:sz w:val="24"/>
          <w:szCs w:val="24"/>
        </w:rPr>
        <w:t xml:space="preserve">the </w:t>
      </w:r>
      <w:r w:rsidR="000A5A85" w:rsidRPr="00E81F48">
        <w:rPr>
          <w:rFonts w:eastAsia="Times New Roman"/>
          <w:sz w:val="24"/>
          <w:szCs w:val="24"/>
        </w:rPr>
        <w:t>complaints of pain</w:t>
      </w:r>
      <w:r w:rsidR="00C2710F" w:rsidRPr="00E81F48">
        <w:rPr>
          <w:rFonts w:eastAsia="Times New Roman"/>
          <w:sz w:val="24"/>
          <w:szCs w:val="24"/>
        </w:rPr>
        <w:t>,</w:t>
      </w:r>
      <w:r w:rsidR="000A5A85" w:rsidRPr="00E81F48">
        <w:rPr>
          <w:rFonts w:eastAsia="Times New Roman"/>
          <w:sz w:val="24"/>
          <w:szCs w:val="24"/>
        </w:rPr>
        <w:t xml:space="preserve"> </w:t>
      </w:r>
      <w:r w:rsidR="0024008A" w:rsidRPr="00E81F48">
        <w:rPr>
          <w:rFonts w:eastAsia="Times New Roman"/>
          <w:sz w:val="24"/>
          <w:szCs w:val="24"/>
        </w:rPr>
        <w:t>“consisted of a narrative” regarding the event</w:t>
      </w:r>
      <w:r w:rsidR="00C2710F" w:rsidRPr="00E81F48">
        <w:rPr>
          <w:rFonts w:eastAsia="Times New Roman"/>
          <w:sz w:val="24"/>
          <w:szCs w:val="24"/>
        </w:rPr>
        <w:t>.</w:t>
      </w:r>
    </w:p>
    <w:p w14:paraId="0C102189" w14:textId="77777777" w:rsidR="006D58E0" w:rsidRPr="00E81F48" w:rsidRDefault="006D58E0" w:rsidP="00CA61C3">
      <w:pPr>
        <w:widowControl/>
        <w:shd w:val="clear" w:color="auto" w:fill="FFFFFF"/>
        <w:autoSpaceDE/>
        <w:autoSpaceDN/>
        <w:adjustRightInd/>
        <w:jc w:val="both"/>
        <w:rPr>
          <w:rFonts w:eastAsia="Times New Roman"/>
          <w:sz w:val="24"/>
          <w:szCs w:val="24"/>
        </w:rPr>
      </w:pPr>
    </w:p>
    <w:p w14:paraId="4E94E641" w14:textId="3E5468C1" w:rsidR="00421081" w:rsidRPr="00E81F48" w:rsidRDefault="00A83EEF" w:rsidP="00CA61C3">
      <w:pPr>
        <w:widowControl/>
        <w:shd w:val="clear" w:color="auto" w:fill="FFFFFF"/>
        <w:autoSpaceDE/>
        <w:autoSpaceDN/>
        <w:adjustRightInd/>
        <w:jc w:val="both"/>
        <w:rPr>
          <w:sz w:val="24"/>
          <w:szCs w:val="24"/>
        </w:rPr>
      </w:pPr>
      <w:r w:rsidRPr="00E81F48">
        <w:rPr>
          <w:rFonts w:eastAsia="Times New Roman"/>
          <w:sz w:val="24"/>
          <w:szCs w:val="24"/>
        </w:rPr>
        <w:lastRenderedPageBreak/>
        <w:tab/>
        <w:t xml:space="preserve">As </w:t>
      </w:r>
      <w:r w:rsidR="00BF44C9" w:rsidRPr="00E81F48">
        <w:rPr>
          <w:rFonts w:eastAsia="Times New Roman"/>
          <w:sz w:val="24"/>
          <w:szCs w:val="24"/>
        </w:rPr>
        <w:t>the rule states</w:t>
      </w:r>
      <w:r w:rsidR="00F32D95" w:rsidRPr="00E81F48">
        <w:rPr>
          <w:rFonts w:eastAsia="Times New Roman"/>
          <w:sz w:val="24"/>
          <w:szCs w:val="24"/>
        </w:rPr>
        <w:t>,</w:t>
      </w:r>
      <w:r w:rsidRPr="00E81F48">
        <w:rPr>
          <w:rFonts w:eastAsia="Times New Roman"/>
          <w:sz w:val="24"/>
          <w:szCs w:val="24"/>
        </w:rPr>
        <w:t xml:space="preserve"> declarations of pain</w:t>
      </w:r>
      <w:r w:rsidR="00443427" w:rsidRPr="00E81F48">
        <w:rPr>
          <w:rFonts w:eastAsia="Times New Roman"/>
          <w:sz w:val="24"/>
          <w:szCs w:val="24"/>
        </w:rPr>
        <w:t xml:space="preserve">, illness, or </w:t>
      </w:r>
      <w:r w:rsidR="00D1766A" w:rsidRPr="00E81F48">
        <w:rPr>
          <w:rFonts w:eastAsia="Times New Roman"/>
          <w:sz w:val="24"/>
          <w:szCs w:val="24"/>
        </w:rPr>
        <w:t xml:space="preserve">physical </w:t>
      </w:r>
      <w:r w:rsidR="00443427" w:rsidRPr="00E81F48">
        <w:rPr>
          <w:rFonts w:eastAsia="Times New Roman"/>
          <w:sz w:val="24"/>
          <w:szCs w:val="24"/>
        </w:rPr>
        <w:t>condition</w:t>
      </w:r>
      <w:r w:rsidR="00D1766A" w:rsidRPr="00E81F48">
        <w:rPr>
          <w:rFonts w:eastAsia="Times New Roman"/>
          <w:sz w:val="24"/>
          <w:szCs w:val="24"/>
        </w:rPr>
        <w:t xml:space="preserve"> </w:t>
      </w:r>
      <w:r w:rsidR="00B80BBD" w:rsidRPr="00E81F48">
        <w:rPr>
          <w:rFonts w:eastAsia="Times New Roman"/>
          <w:sz w:val="24"/>
          <w:szCs w:val="24"/>
        </w:rPr>
        <w:t xml:space="preserve">made to a third party </w:t>
      </w:r>
      <w:r w:rsidR="00D1766A" w:rsidRPr="00E81F48">
        <w:rPr>
          <w:rFonts w:eastAsia="Times New Roman"/>
          <w:sz w:val="24"/>
          <w:szCs w:val="24"/>
        </w:rPr>
        <w:t xml:space="preserve">are not admissible if the declarant is </w:t>
      </w:r>
      <w:r w:rsidR="00665A59" w:rsidRPr="00E81F48">
        <w:rPr>
          <w:rFonts w:eastAsia="Times New Roman"/>
          <w:sz w:val="24"/>
          <w:szCs w:val="24"/>
        </w:rPr>
        <w:t>available at the time of the proceeding</w:t>
      </w:r>
      <w:r w:rsidR="00024257" w:rsidRPr="00E81F48">
        <w:rPr>
          <w:rFonts w:eastAsia="Times New Roman"/>
          <w:sz w:val="24"/>
          <w:szCs w:val="24"/>
        </w:rPr>
        <w:t xml:space="preserve"> </w:t>
      </w:r>
      <w:r w:rsidR="0071770C" w:rsidRPr="00E81F48">
        <w:rPr>
          <w:rFonts w:eastAsia="Times New Roman"/>
          <w:sz w:val="24"/>
          <w:szCs w:val="24"/>
        </w:rPr>
        <w:t>(</w:t>
      </w:r>
      <w:r w:rsidR="00024257" w:rsidRPr="00E81F48">
        <w:rPr>
          <w:rFonts w:eastAsia="Times New Roman"/>
          <w:i/>
          <w:iCs/>
          <w:sz w:val="24"/>
          <w:szCs w:val="24"/>
        </w:rPr>
        <w:t>s</w:t>
      </w:r>
      <w:r w:rsidR="00665A59" w:rsidRPr="00E81F48">
        <w:rPr>
          <w:rFonts w:eastAsia="Times New Roman"/>
          <w:i/>
          <w:iCs/>
          <w:sz w:val="24"/>
          <w:szCs w:val="24"/>
        </w:rPr>
        <w:t>ee</w:t>
      </w:r>
      <w:r w:rsidR="00665A59" w:rsidRPr="00E81F48">
        <w:rPr>
          <w:rFonts w:eastAsia="Times New Roman"/>
          <w:sz w:val="24"/>
          <w:szCs w:val="24"/>
        </w:rPr>
        <w:t xml:space="preserve"> </w:t>
      </w:r>
      <w:r w:rsidR="001C38A1" w:rsidRPr="00E81F48">
        <w:rPr>
          <w:rFonts w:eastAsia="Times New Roman"/>
          <w:i/>
          <w:iCs/>
          <w:sz w:val="24"/>
          <w:szCs w:val="24"/>
        </w:rPr>
        <w:t xml:space="preserve">Roche v Brooklyn City &amp; </w:t>
      </w:r>
      <w:r w:rsidR="00B621B6" w:rsidRPr="00E81F48">
        <w:rPr>
          <w:rFonts w:eastAsia="Times New Roman"/>
          <w:i/>
          <w:iCs/>
          <w:sz w:val="24"/>
          <w:szCs w:val="24"/>
        </w:rPr>
        <w:t>Newtown R</w:t>
      </w:r>
      <w:r w:rsidR="001C38A1" w:rsidRPr="00E81F48">
        <w:rPr>
          <w:rFonts w:eastAsia="Times New Roman"/>
          <w:i/>
          <w:iCs/>
          <w:sz w:val="24"/>
          <w:szCs w:val="24"/>
        </w:rPr>
        <w:t>.R. Co.</w:t>
      </w:r>
      <w:r w:rsidR="001C38A1" w:rsidRPr="00E81F48">
        <w:rPr>
          <w:rFonts w:eastAsia="Times New Roman"/>
          <w:sz w:val="24"/>
          <w:szCs w:val="24"/>
        </w:rPr>
        <w:t>, 105 NY 294, 299 [1887]</w:t>
      </w:r>
      <w:r w:rsidR="00EC1988" w:rsidRPr="00E81F48">
        <w:rPr>
          <w:rFonts w:eastAsia="Times New Roman"/>
          <w:sz w:val="24"/>
          <w:szCs w:val="24"/>
        </w:rPr>
        <w:t xml:space="preserve"> [“</w:t>
      </w:r>
      <w:r w:rsidR="001C38A1" w:rsidRPr="00E81F48">
        <w:rPr>
          <w:rFonts w:eastAsia="Times New Roman"/>
          <w:sz w:val="24"/>
          <w:szCs w:val="24"/>
        </w:rPr>
        <w:t xml:space="preserve">the evidence of </w:t>
      </w:r>
      <w:r w:rsidR="00B621B6" w:rsidRPr="00E81F48">
        <w:rPr>
          <w:rFonts w:eastAsia="Times New Roman"/>
          <w:sz w:val="24"/>
          <w:szCs w:val="24"/>
        </w:rPr>
        <w:t>(</w:t>
      </w:r>
      <w:r w:rsidR="00EC1988" w:rsidRPr="00E81F48">
        <w:rPr>
          <w:rFonts w:eastAsia="Times New Roman"/>
          <w:sz w:val="24"/>
          <w:szCs w:val="24"/>
        </w:rPr>
        <w:t>a third party</w:t>
      </w:r>
      <w:r w:rsidR="00B621B6" w:rsidRPr="00E81F48">
        <w:rPr>
          <w:rFonts w:eastAsia="Times New Roman"/>
          <w:sz w:val="24"/>
          <w:szCs w:val="24"/>
        </w:rPr>
        <w:t xml:space="preserve">) </w:t>
      </w:r>
      <w:r w:rsidR="001C38A1" w:rsidRPr="00E81F48">
        <w:rPr>
          <w:rFonts w:eastAsia="Times New Roman"/>
          <w:sz w:val="24"/>
          <w:szCs w:val="24"/>
        </w:rPr>
        <w:t>as to the plaintiff</w:t>
      </w:r>
      <w:r w:rsidR="00EF6766" w:rsidRPr="00E81F48">
        <w:rPr>
          <w:rFonts w:eastAsia="Times New Roman"/>
          <w:sz w:val="24"/>
          <w:szCs w:val="24"/>
        </w:rPr>
        <w:t>’</w:t>
      </w:r>
      <w:r w:rsidR="001C38A1" w:rsidRPr="00E81F48">
        <w:rPr>
          <w:rFonts w:eastAsia="Times New Roman"/>
          <w:sz w:val="24"/>
          <w:szCs w:val="24"/>
        </w:rPr>
        <w:t>s declarations of existing pain when they were walking in the street together long after the accident,</w:t>
      </w:r>
      <w:r w:rsidR="00B621B6" w:rsidRPr="00E81F48">
        <w:rPr>
          <w:rFonts w:eastAsia="Times New Roman"/>
          <w:sz w:val="24"/>
          <w:szCs w:val="24"/>
        </w:rPr>
        <w:t>”</w:t>
      </w:r>
      <w:r w:rsidR="001C38A1" w:rsidRPr="00E81F48">
        <w:rPr>
          <w:rFonts w:eastAsia="Times New Roman"/>
          <w:sz w:val="24"/>
          <w:szCs w:val="24"/>
        </w:rPr>
        <w:t xml:space="preserve"> </w:t>
      </w:r>
      <w:r w:rsidR="000C10FB" w:rsidRPr="00E81F48">
        <w:rPr>
          <w:rFonts w:eastAsia="Times New Roman"/>
          <w:sz w:val="24"/>
          <w:szCs w:val="24"/>
        </w:rPr>
        <w:t xml:space="preserve">in addition to the testimony of the plaintiff, </w:t>
      </w:r>
      <w:r w:rsidR="00024257" w:rsidRPr="00E81F48">
        <w:rPr>
          <w:rFonts w:eastAsia="Times New Roman"/>
          <w:sz w:val="24"/>
          <w:szCs w:val="24"/>
        </w:rPr>
        <w:t>“</w:t>
      </w:r>
      <w:r w:rsidR="001C38A1" w:rsidRPr="00E81F48">
        <w:rPr>
          <w:rFonts w:eastAsia="Times New Roman"/>
          <w:sz w:val="24"/>
          <w:szCs w:val="24"/>
        </w:rPr>
        <w:t>should not have been received</w:t>
      </w:r>
      <w:r w:rsidR="00024257" w:rsidRPr="00E81F48">
        <w:rPr>
          <w:rFonts w:eastAsia="Times New Roman"/>
          <w:sz w:val="24"/>
          <w:szCs w:val="24"/>
        </w:rPr>
        <w:t>”</w:t>
      </w:r>
      <w:r w:rsidR="00DF428C" w:rsidRPr="00E81F48">
        <w:rPr>
          <w:rFonts w:eastAsia="Times New Roman"/>
          <w:sz w:val="24"/>
          <w:szCs w:val="24"/>
        </w:rPr>
        <w:t>]</w:t>
      </w:r>
      <w:r w:rsidR="0071770C" w:rsidRPr="00E81F48">
        <w:rPr>
          <w:rFonts w:eastAsia="Times New Roman"/>
          <w:sz w:val="24"/>
          <w:szCs w:val="24"/>
        </w:rPr>
        <w:t xml:space="preserve">; </w:t>
      </w:r>
      <w:r w:rsidR="0071770C" w:rsidRPr="00E81F48">
        <w:rPr>
          <w:i/>
          <w:iCs/>
          <w:sz w:val="24"/>
          <w:szCs w:val="24"/>
        </w:rPr>
        <w:t>Davidson v Cornell</w:t>
      </w:r>
      <w:r w:rsidR="0071770C" w:rsidRPr="00E81F48">
        <w:rPr>
          <w:sz w:val="24"/>
          <w:szCs w:val="24"/>
        </w:rPr>
        <w:t>, 132 NY 228 [1892]</w:t>
      </w:r>
      <w:r w:rsidR="00BF44C9" w:rsidRPr="00E81F48">
        <w:rPr>
          <w:sz w:val="24"/>
          <w:szCs w:val="24"/>
        </w:rPr>
        <w:t>).</w:t>
      </w:r>
      <w:r w:rsidR="00F66DE8" w:rsidRPr="00E81F48">
        <w:rPr>
          <w:sz w:val="24"/>
          <w:szCs w:val="24"/>
        </w:rPr>
        <w:t xml:space="preserve"> </w:t>
      </w:r>
      <w:r w:rsidR="00DA0497" w:rsidRPr="00E81F48">
        <w:rPr>
          <w:sz w:val="24"/>
          <w:szCs w:val="24"/>
        </w:rPr>
        <w:t>D</w:t>
      </w:r>
      <w:r w:rsidR="00A7229D" w:rsidRPr="00E81F48">
        <w:rPr>
          <w:sz w:val="24"/>
          <w:szCs w:val="24"/>
        </w:rPr>
        <w:t>eclarations</w:t>
      </w:r>
      <w:r w:rsidR="00DA0497" w:rsidRPr="00E81F48">
        <w:rPr>
          <w:sz w:val="24"/>
          <w:szCs w:val="24"/>
        </w:rPr>
        <w:t xml:space="preserve"> of pain, illness, or physical condition</w:t>
      </w:r>
      <w:r w:rsidR="00A7229D" w:rsidRPr="00E81F48">
        <w:rPr>
          <w:sz w:val="24"/>
          <w:szCs w:val="24"/>
        </w:rPr>
        <w:t>,</w:t>
      </w:r>
      <w:r w:rsidR="003D0156" w:rsidRPr="00E81F48">
        <w:rPr>
          <w:sz w:val="24"/>
          <w:szCs w:val="24"/>
        </w:rPr>
        <w:t xml:space="preserve"> may,</w:t>
      </w:r>
      <w:r w:rsidR="00A7229D" w:rsidRPr="00E81F48">
        <w:rPr>
          <w:sz w:val="24"/>
          <w:szCs w:val="24"/>
        </w:rPr>
        <w:t xml:space="preserve"> however,</w:t>
      </w:r>
      <w:r w:rsidR="00421081" w:rsidRPr="00E81F48">
        <w:rPr>
          <w:sz w:val="24"/>
          <w:szCs w:val="24"/>
        </w:rPr>
        <w:t xml:space="preserve"> be admissible, even though the declarant is available</w:t>
      </w:r>
      <w:r w:rsidR="003016B4" w:rsidRPr="00E81F48">
        <w:rPr>
          <w:sz w:val="24"/>
          <w:szCs w:val="24"/>
        </w:rPr>
        <w:t>,</w:t>
      </w:r>
      <w:r w:rsidR="00421081" w:rsidRPr="00E81F48">
        <w:rPr>
          <w:sz w:val="24"/>
          <w:szCs w:val="24"/>
        </w:rPr>
        <w:t xml:space="preserve"> where the statement is admissible as one made to a health care professional under Guide to New York Evidence rule 8.43 (</w:t>
      </w:r>
      <w:r w:rsidR="00421081" w:rsidRPr="00E81F48">
        <w:rPr>
          <w:i/>
          <w:iCs/>
          <w:sz w:val="24"/>
          <w:szCs w:val="24"/>
        </w:rPr>
        <w:t>see People v Duhs</w:t>
      </w:r>
      <w:r w:rsidR="00421081" w:rsidRPr="00E81F48">
        <w:rPr>
          <w:sz w:val="24"/>
          <w:szCs w:val="24"/>
        </w:rPr>
        <w:t>, 16 NY3d 405, 408 [2011]), or as an excited utterance under rule 8.1</w:t>
      </w:r>
      <w:r w:rsidR="00024257" w:rsidRPr="00E81F48">
        <w:rPr>
          <w:sz w:val="24"/>
          <w:szCs w:val="24"/>
        </w:rPr>
        <w:t>7</w:t>
      </w:r>
      <w:r w:rsidR="00300FF5" w:rsidRPr="00E81F48">
        <w:rPr>
          <w:sz w:val="24"/>
          <w:szCs w:val="24"/>
        </w:rPr>
        <w:t>,</w:t>
      </w:r>
      <w:r w:rsidR="00421081" w:rsidRPr="00E81F48">
        <w:rPr>
          <w:sz w:val="24"/>
          <w:szCs w:val="24"/>
        </w:rPr>
        <w:t xml:space="preserve"> or as a present sense impression under rule 8.</w:t>
      </w:r>
      <w:r w:rsidR="00024257" w:rsidRPr="00E81F48">
        <w:rPr>
          <w:sz w:val="24"/>
          <w:szCs w:val="24"/>
        </w:rPr>
        <w:t>29</w:t>
      </w:r>
      <w:r w:rsidR="00421081" w:rsidRPr="00E81F48">
        <w:rPr>
          <w:sz w:val="24"/>
          <w:szCs w:val="24"/>
        </w:rPr>
        <w:t xml:space="preserve"> (</w:t>
      </w:r>
      <w:r w:rsidR="00421081" w:rsidRPr="00E81F48">
        <w:rPr>
          <w:i/>
          <w:iCs/>
          <w:sz w:val="24"/>
          <w:szCs w:val="24"/>
        </w:rPr>
        <w:t>see e.g.</w:t>
      </w:r>
      <w:r w:rsidR="00421081" w:rsidRPr="00E81F48">
        <w:rPr>
          <w:sz w:val="24"/>
          <w:szCs w:val="24"/>
        </w:rPr>
        <w:t xml:space="preserve"> </w:t>
      </w:r>
      <w:r w:rsidR="00421081" w:rsidRPr="00E81F48">
        <w:rPr>
          <w:i/>
          <w:iCs/>
          <w:sz w:val="24"/>
          <w:szCs w:val="24"/>
        </w:rPr>
        <w:t>People v McCray</w:t>
      </w:r>
      <w:r w:rsidR="00421081" w:rsidRPr="00E81F48">
        <w:rPr>
          <w:sz w:val="24"/>
          <w:szCs w:val="24"/>
        </w:rPr>
        <w:t xml:space="preserve">, 102 AD3d 1000, 1009 [3d Dept 2013]; </w:t>
      </w:r>
      <w:r w:rsidR="00421081" w:rsidRPr="00E81F48">
        <w:rPr>
          <w:i/>
          <w:iCs/>
          <w:sz w:val="24"/>
          <w:szCs w:val="24"/>
        </w:rPr>
        <w:t>Balzola v Giese</w:t>
      </w:r>
      <w:r w:rsidR="00421081" w:rsidRPr="00E81F48">
        <w:rPr>
          <w:sz w:val="24"/>
          <w:szCs w:val="24"/>
        </w:rPr>
        <w:t xml:space="preserve">, 107 AD3d 587 [1st Dept 2013]; </w:t>
      </w:r>
      <w:r w:rsidR="00421081" w:rsidRPr="00E81F48">
        <w:rPr>
          <w:i/>
          <w:iCs/>
          <w:sz w:val="24"/>
          <w:szCs w:val="24"/>
        </w:rPr>
        <w:t>Hyung Kee Lee v New York Hosp. Queens</w:t>
      </w:r>
      <w:r w:rsidR="00421081" w:rsidRPr="00E81F48">
        <w:rPr>
          <w:sz w:val="24"/>
          <w:szCs w:val="24"/>
        </w:rPr>
        <w:t>, 118 AD3d 750 [2d Dept 2014]).</w:t>
      </w:r>
    </w:p>
    <w:p w14:paraId="2AECF064" w14:textId="77777777" w:rsidR="00F32D95" w:rsidRPr="00E81F48" w:rsidRDefault="00F32D95" w:rsidP="00CA61C3">
      <w:pPr>
        <w:jc w:val="both"/>
        <w:rPr>
          <w:sz w:val="24"/>
          <w:szCs w:val="24"/>
        </w:rPr>
      </w:pPr>
    </w:p>
    <w:sectPr w:rsidR="00F32D95" w:rsidRPr="00E81F48" w:rsidSect="00E3543F">
      <w:endnotePr>
        <w:numFmt w:val="decimal"/>
      </w:endnotePr>
      <w:type w:val="continuous"/>
      <w:pgSz w:w="12240" w:h="15840" w:code="1"/>
      <w:pgMar w:top="1440" w:right="2160" w:bottom="1440" w:left="216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B922E" w14:textId="77777777" w:rsidR="009428C7" w:rsidRDefault="009428C7" w:rsidP="00B21EB1">
      <w:r>
        <w:separator/>
      </w:r>
    </w:p>
  </w:endnote>
  <w:endnote w:type="continuationSeparator" w:id="0">
    <w:p w14:paraId="7AF96107" w14:textId="77777777" w:rsidR="009428C7" w:rsidRDefault="009428C7" w:rsidP="00B2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E30FA" w14:textId="77777777" w:rsidR="009428C7" w:rsidRDefault="009428C7" w:rsidP="00B21EB1">
      <w:r>
        <w:separator/>
      </w:r>
    </w:p>
  </w:footnote>
  <w:footnote w:type="continuationSeparator" w:id="0">
    <w:p w14:paraId="003586B2" w14:textId="77777777" w:rsidR="009428C7" w:rsidRDefault="009428C7" w:rsidP="00B21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jI0NDczNTIzMzQ1MTZX0lEKTi0uzszPAykwrAUAIlU0XywAAAA="/>
  </w:docVars>
  <w:rsids>
    <w:rsidRoot w:val="001E37E3"/>
    <w:rsid w:val="000002C9"/>
    <w:rsid w:val="00015488"/>
    <w:rsid w:val="00024257"/>
    <w:rsid w:val="00033B8C"/>
    <w:rsid w:val="000A4AF4"/>
    <w:rsid w:val="000A5A85"/>
    <w:rsid w:val="000B097C"/>
    <w:rsid w:val="000C10FB"/>
    <w:rsid w:val="00107997"/>
    <w:rsid w:val="00143919"/>
    <w:rsid w:val="00160549"/>
    <w:rsid w:val="00166C38"/>
    <w:rsid w:val="00177F23"/>
    <w:rsid w:val="00191AD0"/>
    <w:rsid w:val="00194990"/>
    <w:rsid w:val="001B49F7"/>
    <w:rsid w:val="001C38A1"/>
    <w:rsid w:val="001C3B68"/>
    <w:rsid w:val="001C5712"/>
    <w:rsid w:val="001D1343"/>
    <w:rsid w:val="001E37E3"/>
    <w:rsid w:val="001E5FDC"/>
    <w:rsid w:val="002047EB"/>
    <w:rsid w:val="002072AA"/>
    <w:rsid w:val="00207410"/>
    <w:rsid w:val="00224106"/>
    <w:rsid w:val="0022525A"/>
    <w:rsid w:val="0024008A"/>
    <w:rsid w:val="00254815"/>
    <w:rsid w:val="00257F9B"/>
    <w:rsid w:val="00271926"/>
    <w:rsid w:val="0028762A"/>
    <w:rsid w:val="002A308A"/>
    <w:rsid w:val="002A4500"/>
    <w:rsid w:val="002A51CF"/>
    <w:rsid w:val="002C17FA"/>
    <w:rsid w:val="002C2935"/>
    <w:rsid w:val="00300650"/>
    <w:rsid w:val="00300FF5"/>
    <w:rsid w:val="003016B4"/>
    <w:rsid w:val="003035A9"/>
    <w:rsid w:val="00316BFF"/>
    <w:rsid w:val="003241EC"/>
    <w:rsid w:val="003252EB"/>
    <w:rsid w:val="00346480"/>
    <w:rsid w:val="00351266"/>
    <w:rsid w:val="00362029"/>
    <w:rsid w:val="0039046A"/>
    <w:rsid w:val="003D0156"/>
    <w:rsid w:val="003E78E5"/>
    <w:rsid w:val="003F0025"/>
    <w:rsid w:val="003F130C"/>
    <w:rsid w:val="004151BA"/>
    <w:rsid w:val="00420934"/>
    <w:rsid w:val="00421081"/>
    <w:rsid w:val="0042432A"/>
    <w:rsid w:val="00443427"/>
    <w:rsid w:val="004468E9"/>
    <w:rsid w:val="004642EB"/>
    <w:rsid w:val="00475697"/>
    <w:rsid w:val="00482FE5"/>
    <w:rsid w:val="004947B6"/>
    <w:rsid w:val="004973B7"/>
    <w:rsid w:val="004C08A3"/>
    <w:rsid w:val="004D308E"/>
    <w:rsid w:val="0050371E"/>
    <w:rsid w:val="00523E60"/>
    <w:rsid w:val="00561280"/>
    <w:rsid w:val="00562FA0"/>
    <w:rsid w:val="005659A2"/>
    <w:rsid w:val="00576BBB"/>
    <w:rsid w:val="005D66E8"/>
    <w:rsid w:val="005D690D"/>
    <w:rsid w:val="005E7661"/>
    <w:rsid w:val="005F422C"/>
    <w:rsid w:val="00606A31"/>
    <w:rsid w:val="006412BA"/>
    <w:rsid w:val="00642D04"/>
    <w:rsid w:val="0064449E"/>
    <w:rsid w:val="00663924"/>
    <w:rsid w:val="00665A59"/>
    <w:rsid w:val="006B7884"/>
    <w:rsid w:val="006C1152"/>
    <w:rsid w:val="006C54AB"/>
    <w:rsid w:val="006D3D1C"/>
    <w:rsid w:val="006D58E0"/>
    <w:rsid w:val="006D5E47"/>
    <w:rsid w:val="006E5AC7"/>
    <w:rsid w:val="006F09A0"/>
    <w:rsid w:val="006F4B69"/>
    <w:rsid w:val="006F6B73"/>
    <w:rsid w:val="0071770C"/>
    <w:rsid w:val="00727A07"/>
    <w:rsid w:val="00727DDD"/>
    <w:rsid w:val="007B6DFB"/>
    <w:rsid w:val="007E03DE"/>
    <w:rsid w:val="00806EC8"/>
    <w:rsid w:val="00822B3E"/>
    <w:rsid w:val="008248D1"/>
    <w:rsid w:val="00833F2B"/>
    <w:rsid w:val="00841490"/>
    <w:rsid w:val="00853835"/>
    <w:rsid w:val="00872122"/>
    <w:rsid w:val="00880E97"/>
    <w:rsid w:val="008934D3"/>
    <w:rsid w:val="008B4E9E"/>
    <w:rsid w:val="008C5CF8"/>
    <w:rsid w:val="008F4156"/>
    <w:rsid w:val="009117E4"/>
    <w:rsid w:val="0092069E"/>
    <w:rsid w:val="009401CB"/>
    <w:rsid w:val="009428C7"/>
    <w:rsid w:val="009743AA"/>
    <w:rsid w:val="00975B8C"/>
    <w:rsid w:val="009A781D"/>
    <w:rsid w:val="009E6219"/>
    <w:rsid w:val="009F2B27"/>
    <w:rsid w:val="00A069ED"/>
    <w:rsid w:val="00A11F09"/>
    <w:rsid w:val="00A3649E"/>
    <w:rsid w:val="00A649A0"/>
    <w:rsid w:val="00A7229D"/>
    <w:rsid w:val="00A83EEF"/>
    <w:rsid w:val="00A84BF2"/>
    <w:rsid w:val="00A91E3E"/>
    <w:rsid w:val="00A96FFF"/>
    <w:rsid w:val="00AC52AD"/>
    <w:rsid w:val="00AD48FC"/>
    <w:rsid w:val="00AE03C5"/>
    <w:rsid w:val="00AF0120"/>
    <w:rsid w:val="00B01946"/>
    <w:rsid w:val="00B21EB1"/>
    <w:rsid w:val="00B24EB6"/>
    <w:rsid w:val="00B25BDE"/>
    <w:rsid w:val="00B26A1B"/>
    <w:rsid w:val="00B31C6B"/>
    <w:rsid w:val="00B47DF1"/>
    <w:rsid w:val="00B60BBE"/>
    <w:rsid w:val="00B621B6"/>
    <w:rsid w:val="00B80BBD"/>
    <w:rsid w:val="00BA034D"/>
    <w:rsid w:val="00BA32CD"/>
    <w:rsid w:val="00BA68F7"/>
    <w:rsid w:val="00BE27B1"/>
    <w:rsid w:val="00BF44C9"/>
    <w:rsid w:val="00C2079D"/>
    <w:rsid w:val="00C2710F"/>
    <w:rsid w:val="00C32597"/>
    <w:rsid w:val="00C46442"/>
    <w:rsid w:val="00C92EDF"/>
    <w:rsid w:val="00CA1CFD"/>
    <w:rsid w:val="00CA61C3"/>
    <w:rsid w:val="00CC4DC8"/>
    <w:rsid w:val="00CE797C"/>
    <w:rsid w:val="00CF2519"/>
    <w:rsid w:val="00D155DA"/>
    <w:rsid w:val="00D1766A"/>
    <w:rsid w:val="00D22119"/>
    <w:rsid w:val="00D4090C"/>
    <w:rsid w:val="00D61C8F"/>
    <w:rsid w:val="00D67FB3"/>
    <w:rsid w:val="00D7705D"/>
    <w:rsid w:val="00D8192F"/>
    <w:rsid w:val="00D95611"/>
    <w:rsid w:val="00DA0497"/>
    <w:rsid w:val="00DC265B"/>
    <w:rsid w:val="00DF06E7"/>
    <w:rsid w:val="00DF428C"/>
    <w:rsid w:val="00E0738C"/>
    <w:rsid w:val="00E14619"/>
    <w:rsid w:val="00E20D28"/>
    <w:rsid w:val="00E240DA"/>
    <w:rsid w:val="00E25BB4"/>
    <w:rsid w:val="00E3111B"/>
    <w:rsid w:val="00E31DAF"/>
    <w:rsid w:val="00E3543F"/>
    <w:rsid w:val="00E45FF3"/>
    <w:rsid w:val="00E81F48"/>
    <w:rsid w:val="00E84F70"/>
    <w:rsid w:val="00E94E57"/>
    <w:rsid w:val="00EC1988"/>
    <w:rsid w:val="00EC4AFC"/>
    <w:rsid w:val="00EE7BE4"/>
    <w:rsid w:val="00EF1484"/>
    <w:rsid w:val="00EF6766"/>
    <w:rsid w:val="00F13D9B"/>
    <w:rsid w:val="00F212CC"/>
    <w:rsid w:val="00F2220A"/>
    <w:rsid w:val="00F32D95"/>
    <w:rsid w:val="00F66DE8"/>
    <w:rsid w:val="00F7216B"/>
    <w:rsid w:val="00F72296"/>
    <w:rsid w:val="00F90D47"/>
    <w:rsid w:val="00FA28A3"/>
    <w:rsid w:val="00FB7103"/>
    <w:rsid w:val="00FC6C04"/>
    <w:rsid w:val="00FE2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2A1D"/>
  <w15:chartTrackingRefBased/>
  <w15:docId w15:val="{E13C2FCA-F75C-4CAD-9DB8-72C4857F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7E3"/>
    <w:pPr>
      <w:widowControl w:val="0"/>
      <w:autoSpaceDE w:val="0"/>
      <w:autoSpaceDN w:val="0"/>
      <w:adjustRightInd w:val="0"/>
      <w:spacing w:before="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Spacing"/>
    <w:next w:val="NoSpacing"/>
    <w:autoRedefine/>
    <w:uiPriority w:val="39"/>
    <w:qFormat/>
    <w:rsid w:val="00107997"/>
    <w:pPr>
      <w:widowControl w:val="0"/>
      <w:tabs>
        <w:tab w:val="right" w:leader="dot" w:pos="9360"/>
      </w:tabs>
      <w:suppressAutoHyphens/>
      <w:autoSpaceDE w:val="0"/>
      <w:autoSpaceDN w:val="0"/>
      <w:adjustRightInd w:val="0"/>
      <w:spacing w:before="480" w:line="240" w:lineRule="atLeast"/>
      <w:ind w:left="720" w:right="720" w:hanging="720"/>
    </w:pPr>
    <w:rPr>
      <w:rFonts w:eastAsia="Times New Roman" w:cs="Courier New"/>
      <w:szCs w:val="20"/>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NoSpacing">
    <w:name w:val="No Spacing"/>
    <w:uiPriority w:val="99"/>
    <w:qFormat/>
    <w:rsid w:val="00107997"/>
    <w:pPr>
      <w:spacing w:before="0"/>
    </w:pPr>
  </w:style>
  <w:style w:type="paragraph" w:customStyle="1" w:styleId="Level1">
    <w:name w:val="Level 1"/>
    <w:uiPriority w:val="99"/>
    <w:rsid w:val="001E37E3"/>
    <w:pPr>
      <w:widowControl w:val="0"/>
      <w:autoSpaceDE w:val="0"/>
      <w:autoSpaceDN w:val="0"/>
      <w:adjustRightInd w:val="0"/>
      <w:spacing w:before="0"/>
      <w:ind w:left="720"/>
    </w:pPr>
    <w:rPr>
      <w:rFonts w:eastAsiaTheme="minorEastAsia"/>
    </w:rPr>
  </w:style>
  <w:style w:type="character" w:styleId="CommentReference">
    <w:name w:val="annotation reference"/>
    <w:basedOn w:val="DefaultParagraphFont"/>
    <w:uiPriority w:val="99"/>
    <w:semiHidden/>
    <w:unhideWhenUsed/>
    <w:rsid w:val="00024257"/>
    <w:rPr>
      <w:sz w:val="16"/>
      <w:szCs w:val="16"/>
    </w:rPr>
  </w:style>
  <w:style w:type="paragraph" w:styleId="CommentText">
    <w:name w:val="annotation text"/>
    <w:basedOn w:val="Normal"/>
    <w:link w:val="CommentTextChar"/>
    <w:uiPriority w:val="99"/>
    <w:semiHidden/>
    <w:unhideWhenUsed/>
    <w:rsid w:val="00024257"/>
  </w:style>
  <w:style w:type="character" w:customStyle="1" w:styleId="CommentTextChar">
    <w:name w:val="Comment Text Char"/>
    <w:basedOn w:val="DefaultParagraphFont"/>
    <w:link w:val="CommentText"/>
    <w:uiPriority w:val="99"/>
    <w:semiHidden/>
    <w:rsid w:val="0002425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24257"/>
    <w:rPr>
      <w:b/>
      <w:bCs/>
    </w:rPr>
  </w:style>
  <w:style w:type="character" w:customStyle="1" w:styleId="CommentSubjectChar">
    <w:name w:val="Comment Subject Char"/>
    <w:basedOn w:val="CommentTextChar"/>
    <w:link w:val="CommentSubject"/>
    <w:uiPriority w:val="99"/>
    <w:semiHidden/>
    <w:rsid w:val="00024257"/>
    <w:rPr>
      <w:rFonts w:eastAsiaTheme="minorEastAsia"/>
      <w:b/>
      <w:bCs/>
      <w:sz w:val="20"/>
      <w:szCs w:val="20"/>
    </w:rPr>
  </w:style>
  <w:style w:type="character" w:styleId="Hyperlink">
    <w:name w:val="Hyperlink"/>
    <w:basedOn w:val="DefaultParagraphFont"/>
    <w:uiPriority w:val="99"/>
    <w:semiHidden/>
    <w:unhideWhenUsed/>
    <w:rsid w:val="00024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8517">
      <w:bodyDiv w:val="1"/>
      <w:marLeft w:val="0"/>
      <w:marRight w:val="0"/>
      <w:marTop w:val="0"/>
      <w:marBottom w:val="0"/>
      <w:divBdr>
        <w:top w:val="none" w:sz="0" w:space="0" w:color="auto"/>
        <w:left w:val="none" w:sz="0" w:space="0" w:color="auto"/>
        <w:bottom w:val="none" w:sz="0" w:space="0" w:color="auto"/>
        <w:right w:val="none" w:sz="0" w:space="0" w:color="auto"/>
      </w:divBdr>
      <w:divsChild>
        <w:div w:id="395207560">
          <w:marLeft w:val="0"/>
          <w:marRight w:val="0"/>
          <w:marTop w:val="0"/>
          <w:marBottom w:val="0"/>
          <w:divBdr>
            <w:top w:val="none" w:sz="0" w:space="0" w:color="auto"/>
            <w:left w:val="none" w:sz="0" w:space="0" w:color="auto"/>
            <w:bottom w:val="none" w:sz="0" w:space="0" w:color="auto"/>
            <w:right w:val="none" w:sz="0" w:space="0" w:color="auto"/>
          </w:divBdr>
          <w:divsChild>
            <w:div w:id="20992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3264">
      <w:bodyDiv w:val="1"/>
      <w:marLeft w:val="0"/>
      <w:marRight w:val="0"/>
      <w:marTop w:val="0"/>
      <w:marBottom w:val="0"/>
      <w:divBdr>
        <w:top w:val="none" w:sz="0" w:space="0" w:color="auto"/>
        <w:left w:val="none" w:sz="0" w:space="0" w:color="auto"/>
        <w:bottom w:val="none" w:sz="0" w:space="0" w:color="auto"/>
        <w:right w:val="none" w:sz="0" w:space="0" w:color="auto"/>
      </w:divBdr>
      <w:divsChild>
        <w:div w:id="634069489">
          <w:marLeft w:val="0"/>
          <w:marRight w:val="0"/>
          <w:marTop w:val="0"/>
          <w:marBottom w:val="0"/>
          <w:divBdr>
            <w:top w:val="none" w:sz="0" w:space="0" w:color="auto"/>
            <w:left w:val="none" w:sz="0" w:space="0" w:color="auto"/>
            <w:bottom w:val="none" w:sz="0" w:space="0" w:color="auto"/>
            <w:right w:val="none" w:sz="0" w:space="0" w:color="auto"/>
          </w:divBdr>
          <w:divsChild>
            <w:div w:id="1936130843">
              <w:marLeft w:val="0"/>
              <w:marRight w:val="0"/>
              <w:marTop w:val="0"/>
              <w:marBottom w:val="0"/>
              <w:divBdr>
                <w:top w:val="none" w:sz="0" w:space="0" w:color="auto"/>
                <w:left w:val="none" w:sz="0" w:space="0" w:color="auto"/>
                <w:bottom w:val="none" w:sz="0" w:space="0" w:color="auto"/>
                <w:right w:val="none" w:sz="0" w:space="0" w:color="auto"/>
              </w:divBdr>
              <w:divsChild>
                <w:div w:id="15624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79650">
      <w:bodyDiv w:val="1"/>
      <w:marLeft w:val="0"/>
      <w:marRight w:val="0"/>
      <w:marTop w:val="0"/>
      <w:marBottom w:val="0"/>
      <w:divBdr>
        <w:top w:val="none" w:sz="0" w:space="0" w:color="auto"/>
        <w:left w:val="none" w:sz="0" w:space="0" w:color="auto"/>
        <w:bottom w:val="none" w:sz="0" w:space="0" w:color="auto"/>
        <w:right w:val="none" w:sz="0" w:space="0" w:color="auto"/>
      </w:divBdr>
    </w:div>
    <w:div w:id="1274168149">
      <w:bodyDiv w:val="1"/>
      <w:marLeft w:val="0"/>
      <w:marRight w:val="0"/>
      <w:marTop w:val="0"/>
      <w:marBottom w:val="0"/>
      <w:divBdr>
        <w:top w:val="none" w:sz="0" w:space="0" w:color="auto"/>
        <w:left w:val="none" w:sz="0" w:space="0" w:color="auto"/>
        <w:bottom w:val="none" w:sz="0" w:space="0" w:color="auto"/>
        <w:right w:val="none" w:sz="0" w:space="0" w:color="auto"/>
      </w:divBdr>
      <w:divsChild>
        <w:div w:id="763916131">
          <w:marLeft w:val="0"/>
          <w:marRight w:val="0"/>
          <w:marTop w:val="0"/>
          <w:marBottom w:val="0"/>
          <w:divBdr>
            <w:top w:val="none" w:sz="0" w:space="0" w:color="auto"/>
            <w:left w:val="none" w:sz="0" w:space="0" w:color="auto"/>
            <w:bottom w:val="none" w:sz="0" w:space="0" w:color="auto"/>
            <w:right w:val="none" w:sz="0" w:space="0" w:color="auto"/>
          </w:divBdr>
          <w:divsChild>
            <w:div w:id="1428766699">
              <w:marLeft w:val="0"/>
              <w:marRight w:val="0"/>
              <w:marTop w:val="0"/>
              <w:marBottom w:val="0"/>
              <w:divBdr>
                <w:top w:val="none" w:sz="0" w:space="0" w:color="auto"/>
                <w:left w:val="none" w:sz="0" w:space="0" w:color="auto"/>
                <w:bottom w:val="none" w:sz="0" w:space="0" w:color="auto"/>
                <w:right w:val="none" w:sz="0" w:space="0" w:color="auto"/>
              </w:divBdr>
              <w:divsChild>
                <w:div w:id="18844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274F8-15B9-41F9-91AA-486DD832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173</cp:revision>
  <dcterms:created xsi:type="dcterms:W3CDTF">2023-01-16T23:38:00Z</dcterms:created>
  <dcterms:modified xsi:type="dcterms:W3CDTF">2023-05-06T21:16:00Z</dcterms:modified>
</cp:coreProperties>
</file>