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4A18" w14:textId="0C7DABFA" w:rsidR="0075158D" w:rsidRDefault="0075158D" w:rsidP="00910B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b/>
          <w:bCs/>
          <w:sz w:val="28"/>
          <w:szCs w:val="28"/>
        </w:rPr>
      </w:pPr>
      <w:r w:rsidRPr="00D66E1C">
        <w:rPr>
          <w:sz w:val="28"/>
          <w:szCs w:val="28"/>
          <w:lang w:val="en-CA"/>
        </w:rPr>
        <w:fldChar w:fldCharType="begin"/>
      </w:r>
      <w:r w:rsidRPr="00D66E1C">
        <w:rPr>
          <w:sz w:val="28"/>
          <w:szCs w:val="28"/>
          <w:lang w:val="en-CA"/>
        </w:rPr>
        <w:instrText xml:space="preserve"> SEQ CHAPTER \h \r 1</w:instrText>
      </w:r>
      <w:r w:rsidRPr="00D66E1C">
        <w:rPr>
          <w:sz w:val="28"/>
          <w:szCs w:val="28"/>
          <w:lang w:val="en-CA"/>
        </w:rPr>
        <w:fldChar w:fldCharType="end"/>
      </w:r>
      <w:r w:rsidRPr="00D66E1C">
        <w:rPr>
          <w:b/>
          <w:bCs/>
          <w:sz w:val="28"/>
          <w:szCs w:val="28"/>
        </w:rPr>
        <w:t>6.0</w:t>
      </w:r>
      <w:r w:rsidR="006C6764">
        <w:rPr>
          <w:b/>
          <w:bCs/>
          <w:sz w:val="28"/>
          <w:szCs w:val="28"/>
        </w:rPr>
        <w:t>5</w:t>
      </w:r>
      <w:r w:rsidRPr="00D66E1C">
        <w:rPr>
          <w:b/>
          <w:bCs/>
          <w:sz w:val="28"/>
          <w:szCs w:val="28"/>
        </w:rPr>
        <w:t>. Oath or Affirmatio</w:t>
      </w:r>
      <w:r w:rsidR="00D739EC">
        <w:rPr>
          <w:b/>
          <w:bCs/>
          <w:sz w:val="28"/>
          <w:szCs w:val="28"/>
        </w:rPr>
        <w:t>n</w:t>
      </w:r>
      <w:r w:rsidR="00DF3F93" w:rsidRPr="00DF3F93">
        <w:rPr>
          <w:b/>
          <w:bCs/>
          <w:sz w:val="28"/>
          <w:szCs w:val="28"/>
        </w:rPr>
        <w:t xml:space="preserve"> </w:t>
      </w:r>
      <w:r w:rsidR="00DD3D23">
        <w:rPr>
          <w:b/>
          <w:bCs/>
          <w:sz w:val="28"/>
          <w:szCs w:val="28"/>
        </w:rPr>
        <w:t>for a Witness to Testify</w:t>
      </w:r>
    </w:p>
    <w:p w14:paraId="56A2EF3B" w14:textId="549162E5" w:rsidR="00635AC9" w:rsidRPr="00D66E1C" w:rsidRDefault="004B2441" w:rsidP="00910B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b/>
          <w:bCs/>
          <w:sz w:val="28"/>
          <w:szCs w:val="28"/>
        </w:rPr>
      </w:pPr>
      <w:r>
        <w:rPr>
          <w:b/>
          <w:bCs/>
          <w:sz w:val="28"/>
          <w:szCs w:val="28"/>
        </w:rPr>
        <w:t>(</w:t>
      </w:r>
      <w:r w:rsidR="00635AC9">
        <w:rPr>
          <w:b/>
          <w:bCs/>
          <w:sz w:val="28"/>
          <w:szCs w:val="28"/>
        </w:rPr>
        <w:t xml:space="preserve">CPLR 2309; </w:t>
      </w:r>
      <w:r w:rsidR="00F65DA2">
        <w:rPr>
          <w:b/>
          <w:bCs/>
          <w:sz w:val="28"/>
          <w:szCs w:val="28"/>
        </w:rPr>
        <w:t xml:space="preserve">CPL 60.20 </w:t>
      </w:r>
      <w:r>
        <w:rPr>
          <w:b/>
          <w:bCs/>
          <w:sz w:val="28"/>
          <w:szCs w:val="28"/>
        </w:rPr>
        <w:t>[</w:t>
      </w:r>
      <w:r w:rsidR="00F65DA2">
        <w:rPr>
          <w:b/>
          <w:bCs/>
          <w:sz w:val="28"/>
          <w:szCs w:val="28"/>
        </w:rPr>
        <w:t>2</w:t>
      </w:r>
      <w:r w:rsidR="00B53941">
        <w:rPr>
          <w:b/>
          <w:bCs/>
          <w:sz w:val="28"/>
          <w:szCs w:val="28"/>
        </w:rPr>
        <w:t>]</w:t>
      </w:r>
      <w:r>
        <w:rPr>
          <w:b/>
          <w:bCs/>
          <w:sz w:val="28"/>
          <w:szCs w:val="28"/>
        </w:rPr>
        <w:t xml:space="preserve">; </w:t>
      </w:r>
      <w:r w:rsidRPr="004B2441">
        <w:rPr>
          <w:b/>
          <w:bCs/>
          <w:sz w:val="28"/>
          <w:szCs w:val="28"/>
        </w:rPr>
        <w:t xml:space="preserve">Family Court Act § 152 </w:t>
      </w:r>
      <w:r w:rsidR="00A62531">
        <w:rPr>
          <w:b/>
          <w:bCs/>
          <w:sz w:val="28"/>
          <w:szCs w:val="28"/>
        </w:rPr>
        <w:t>[</w:t>
      </w:r>
      <w:r w:rsidRPr="004B2441">
        <w:rPr>
          <w:b/>
          <w:bCs/>
          <w:sz w:val="28"/>
          <w:szCs w:val="28"/>
        </w:rPr>
        <w:t>b</w:t>
      </w:r>
      <w:r w:rsidR="00A62531">
        <w:rPr>
          <w:b/>
          <w:bCs/>
          <w:sz w:val="28"/>
          <w:szCs w:val="28"/>
        </w:rPr>
        <w:t>]</w:t>
      </w:r>
      <w:r w:rsidRPr="004B2441">
        <w:rPr>
          <w:b/>
          <w:bCs/>
          <w:sz w:val="28"/>
          <w:szCs w:val="28"/>
        </w:rPr>
        <w:t>)</w:t>
      </w:r>
    </w:p>
    <w:p w14:paraId="30705875" w14:textId="77777777" w:rsidR="00910B8A" w:rsidRPr="00D66E1C" w:rsidRDefault="00910B8A" w:rsidP="00910B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b/>
          <w:bCs/>
          <w:sz w:val="28"/>
          <w:szCs w:val="28"/>
        </w:rPr>
      </w:pPr>
    </w:p>
    <w:p w14:paraId="60FE3CE5" w14:textId="77777777" w:rsidR="0075158D" w:rsidRPr="00D66E1C" w:rsidRDefault="0075158D" w:rsidP="00910B8A">
      <w:pPr>
        <w:widowControl/>
        <w:tabs>
          <w:tab w:val="left" w:pos="720"/>
          <w:tab w:val="left" w:pos="1440"/>
          <w:tab w:val="left" w:pos="2160"/>
          <w:tab w:val="left" w:pos="2880"/>
          <w:tab w:val="left" w:pos="3600"/>
          <w:tab w:val="left" w:pos="4320"/>
          <w:tab w:val="left" w:pos="5040"/>
          <w:tab w:val="left" w:pos="5760"/>
          <w:tab w:val="left" w:pos="6480"/>
          <w:tab w:val="left" w:pos="7198"/>
        </w:tabs>
        <w:ind w:left="720" w:right="720"/>
        <w:jc w:val="both"/>
        <w:rPr>
          <w:b/>
          <w:bCs/>
          <w:sz w:val="28"/>
          <w:szCs w:val="28"/>
        </w:rPr>
      </w:pPr>
      <w:r w:rsidRPr="00D66E1C">
        <w:rPr>
          <w:b/>
          <w:bCs/>
          <w:sz w:val="28"/>
          <w:szCs w:val="28"/>
        </w:rPr>
        <w:t xml:space="preserve">(1) Except as otherwise provided in subdivision two and subdivision three, before testifying, a witness must declare that he or she will testify truthfully by oath or affirmation </w:t>
      </w:r>
      <w:r w:rsidRPr="00D66E1C">
        <w:rPr>
          <w:b/>
          <w:bCs/>
          <w:color w:val="212121"/>
          <w:sz w:val="28"/>
          <w:szCs w:val="28"/>
        </w:rPr>
        <w:t>administered in a form calculated to awaken the conscience and impress the mind of the witness in accordance with that witness’s religious or ethical beliefs</w:t>
      </w:r>
      <w:r w:rsidRPr="00D66E1C">
        <w:rPr>
          <w:b/>
          <w:bCs/>
          <w:sz w:val="28"/>
          <w:szCs w:val="28"/>
        </w:rPr>
        <w:t>.</w:t>
      </w:r>
    </w:p>
    <w:p w14:paraId="14730678" w14:textId="77777777" w:rsidR="00910B8A" w:rsidRPr="00D66E1C" w:rsidRDefault="00910B8A" w:rsidP="00910B8A">
      <w:pPr>
        <w:widowControl/>
        <w:tabs>
          <w:tab w:val="left" w:pos="720"/>
          <w:tab w:val="left" w:pos="1440"/>
          <w:tab w:val="left" w:pos="2160"/>
          <w:tab w:val="left" w:pos="2880"/>
          <w:tab w:val="left" w:pos="3600"/>
          <w:tab w:val="left" w:pos="4320"/>
          <w:tab w:val="left" w:pos="5040"/>
          <w:tab w:val="left" w:pos="5760"/>
          <w:tab w:val="left" w:pos="6480"/>
          <w:tab w:val="left" w:pos="7198"/>
        </w:tabs>
        <w:ind w:left="720" w:right="720" w:firstLine="720"/>
        <w:jc w:val="both"/>
        <w:rPr>
          <w:b/>
          <w:bCs/>
          <w:sz w:val="28"/>
          <w:szCs w:val="28"/>
        </w:rPr>
      </w:pPr>
    </w:p>
    <w:p w14:paraId="1BCBE4F1" w14:textId="77777777" w:rsidR="0075158D" w:rsidRPr="00D66E1C" w:rsidRDefault="0075158D" w:rsidP="00910B8A">
      <w:pPr>
        <w:widowControl/>
        <w:tabs>
          <w:tab w:val="left" w:pos="720"/>
          <w:tab w:val="left" w:pos="1440"/>
          <w:tab w:val="left" w:pos="2160"/>
          <w:tab w:val="left" w:pos="2880"/>
          <w:tab w:val="left" w:pos="3600"/>
          <w:tab w:val="left" w:pos="4320"/>
          <w:tab w:val="left" w:pos="5040"/>
          <w:tab w:val="left" w:pos="5760"/>
          <w:tab w:val="left" w:pos="6480"/>
          <w:tab w:val="left" w:pos="7198"/>
        </w:tabs>
        <w:ind w:left="720" w:right="720"/>
        <w:jc w:val="both"/>
        <w:rPr>
          <w:b/>
          <w:bCs/>
          <w:sz w:val="28"/>
          <w:szCs w:val="28"/>
        </w:rPr>
      </w:pPr>
      <w:r w:rsidRPr="00D66E1C">
        <w:rPr>
          <w:b/>
          <w:bCs/>
          <w:sz w:val="28"/>
          <w:szCs w:val="28"/>
        </w:rPr>
        <w:t>(2) In a criminal proceeding:</w:t>
      </w:r>
    </w:p>
    <w:p w14:paraId="781A9FA1" w14:textId="77777777" w:rsidR="0075158D" w:rsidRPr="00D66E1C" w:rsidRDefault="0075158D" w:rsidP="00371A0A">
      <w:pPr>
        <w:widowControl/>
        <w:tabs>
          <w:tab w:val="left" w:pos="720"/>
          <w:tab w:val="left" w:pos="1440"/>
          <w:tab w:val="left" w:pos="2160"/>
          <w:tab w:val="left" w:pos="2880"/>
          <w:tab w:val="left" w:pos="3600"/>
          <w:tab w:val="left" w:pos="4320"/>
          <w:tab w:val="left" w:pos="5040"/>
          <w:tab w:val="left" w:pos="5760"/>
          <w:tab w:val="left" w:pos="6480"/>
          <w:tab w:val="left" w:pos="7198"/>
        </w:tabs>
        <w:ind w:left="720" w:right="720"/>
        <w:jc w:val="both"/>
        <w:rPr>
          <w:sz w:val="28"/>
          <w:szCs w:val="28"/>
        </w:rPr>
      </w:pPr>
    </w:p>
    <w:p w14:paraId="04349C96" w14:textId="77777777" w:rsidR="00371A0A" w:rsidRPr="00D66E1C" w:rsidRDefault="00371A0A" w:rsidP="00910B8A">
      <w:pPr>
        <w:widowControl/>
        <w:tabs>
          <w:tab w:val="left" w:pos="720"/>
          <w:tab w:val="left" w:pos="1440"/>
          <w:tab w:val="left" w:pos="2160"/>
          <w:tab w:val="left" w:pos="2880"/>
          <w:tab w:val="left" w:pos="3600"/>
          <w:tab w:val="left" w:pos="4320"/>
          <w:tab w:val="left" w:pos="5040"/>
          <w:tab w:val="left" w:pos="5760"/>
          <w:tab w:val="left" w:pos="6480"/>
          <w:tab w:val="left" w:pos="7198"/>
        </w:tabs>
        <w:ind w:left="720" w:right="720" w:firstLine="720"/>
        <w:jc w:val="both"/>
        <w:rPr>
          <w:sz w:val="28"/>
          <w:szCs w:val="28"/>
        </w:rPr>
        <w:sectPr w:rsidR="00371A0A" w:rsidRPr="00D66E1C" w:rsidSect="00D66E1C">
          <w:footerReference w:type="default" r:id="rId8"/>
          <w:type w:val="continuous"/>
          <w:pgSz w:w="12240" w:h="15840"/>
          <w:pgMar w:top="1440" w:right="2160" w:bottom="1440" w:left="2160" w:header="1440" w:footer="720" w:gutter="0"/>
          <w:cols w:space="720"/>
          <w:docGrid w:linePitch="272"/>
        </w:sectPr>
      </w:pPr>
    </w:p>
    <w:p w14:paraId="7167E5A7" w14:textId="77777777" w:rsidR="0075158D" w:rsidRPr="00D66E1C" w:rsidRDefault="000B0FC2" w:rsidP="00371A0A">
      <w:pPr>
        <w:pStyle w:val="L1-1"/>
        <w:widowControl/>
        <w:numPr>
          <w:ilvl w:val="0"/>
          <w:numId w:val="1"/>
        </w:numPr>
        <w:tabs>
          <w:tab w:val="left" w:pos="2880"/>
          <w:tab w:val="left" w:pos="3600"/>
          <w:tab w:val="left" w:pos="4320"/>
          <w:tab w:val="left" w:pos="5040"/>
          <w:tab w:val="left" w:pos="5760"/>
          <w:tab w:val="left" w:pos="6480"/>
          <w:tab w:val="left" w:pos="7198"/>
        </w:tabs>
        <w:ind w:left="1440" w:right="720" w:firstLine="0"/>
        <w:rPr>
          <w:b/>
          <w:bCs/>
          <w:sz w:val="28"/>
          <w:szCs w:val="28"/>
        </w:rPr>
      </w:pPr>
      <w:r w:rsidRPr="00D66E1C">
        <w:rPr>
          <w:b/>
          <w:bCs/>
          <w:sz w:val="28"/>
          <w:szCs w:val="28"/>
        </w:rPr>
        <w:t xml:space="preserve"> </w:t>
      </w:r>
      <w:r w:rsidR="0075158D" w:rsidRPr="00D66E1C">
        <w:rPr>
          <w:b/>
          <w:bCs/>
          <w:sz w:val="28"/>
          <w:szCs w:val="28"/>
        </w:rPr>
        <w:t>A witness more than nine years old may testify only under oath unless the court is satisfied that such witness cannot, as a result of mental disease or defect, understand the nature of an oath.</w:t>
      </w:r>
    </w:p>
    <w:p w14:paraId="39E23C97" w14:textId="77777777" w:rsidR="0075158D" w:rsidRPr="00D66E1C" w:rsidRDefault="0075158D" w:rsidP="00910B8A">
      <w:pPr>
        <w:pStyle w:val="ListParagra"/>
        <w:widowControl/>
        <w:numPr>
          <w:ilvl w:val="12"/>
          <w:numId w:val="0"/>
        </w:numPr>
        <w:tabs>
          <w:tab w:val="left" w:pos="1860"/>
          <w:tab w:val="left" w:pos="2160"/>
          <w:tab w:val="left" w:pos="2880"/>
          <w:tab w:val="left" w:pos="3600"/>
          <w:tab w:val="left" w:pos="4320"/>
          <w:tab w:val="left" w:pos="5040"/>
          <w:tab w:val="left" w:pos="5760"/>
          <w:tab w:val="left" w:pos="6480"/>
          <w:tab w:val="left" w:pos="7198"/>
        </w:tabs>
        <w:spacing w:after="0" w:line="240" w:lineRule="auto"/>
        <w:ind w:left="1860" w:right="720"/>
        <w:rPr>
          <w:rFonts w:ascii="Times New Roman" w:hAnsi="Times New Roman" w:cs="Times New Roman"/>
          <w:b/>
          <w:bCs/>
          <w:color w:val="212121"/>
          <w:sz w:val="28"/>
          <w:szCs w:val="28"/>
        </w:rPr>
      </w:pPr>
    </w:p>
    <w:p w14:paraId="373B4FB0" w14:textId="77777777" w:rsidR="0075158D" w:rsidRPr="00D66E1C" w:rsidRDefault="0075158D" w:rsidP="00371A0A">
      <w:pPr>
        <w:pStyle w:val="L1-1"/>
        <w:widowControl/>
        <w:numPr>
          <w:ilvl w:val="0"/>
          <w:numId w:val="1"/>
        </w:numPr>
        <w:tabs>
          <w:tab w:val="left" w:pos="2880"/>
          <w:tab w:val="left" w:pos="3600"/>
          <w:tab w:val="left" w:pos="4320"/>
          <w:tab w:val="left" w:pos="5040"/>
          <w:tab w:val="left" w:pos="5760"/>
          <w:tab w:val="left" w:pos="6480"/>
          <w:tab w:val="left" w:pos="7198"/>
        </w:tabs>
        <w:ind w:left="1440" w:right="720" w:firstLine="0"/>
        <w:rPr>
          <w:b/>
          <w:bCs/>
          <w:color w:val="212121"/>
          <w:sz w:val="28"/>
          <w:szCs w:val="28"/>
        </w:rPr>
      </w:pPr>
      <w:r w:rsidRPr="00D66E1C">
        <w:rPr>
          <w:b/>
          <w:bCs/>
          <w:color w:val="212121"/>
          <w:sz w:val="28"/>
          <w:szCs w:val="28"/>
        </w:rPr>
        <w:t xml:space="preserve"> A witness less than nine years old may not testify under oath unless the court is satisfied that he or she understands the nature of an oath. </w:t>
      </w:r>
    </w:p>
    <w:p w14:paraId="796CDCD0" w14:textId="77777777" w:rsidR="0075158D" w:rsidRPr="00D66E1C" w:rsidRDefault="0075158D" w:rsidP="00910B8A">
      <w:pPr>
        <w:pStyle w:val="ListParagra"/>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18"/>
        </w:tabs>
        <w:spacing w:after="0" w:line="240" w:lineRule="auto"/>
        <w:ind w:left="720"/>
        <w:jc w:val="left"/>
        <w:rPr>
          <w:rFonts w:ascii="Times New Roman" w:hAnsi="Times New Roman" w:cs="Times New Roman"/>
          <w:b/>
          <w:bCs/>
          <w:color w:val="212121"/>
          <w:sz w:val="28"/>
          <w:szCs w:val="28"/>
        </w:rPr>
      </w:pPr>
    </w:p>
    <w:p w14:paraId="60601B82" w14:textId="77777777" w:rsidR="0075158D" w:rsidRPr="00D66E1C" w:rsidRDefault="000B0FC2" w:rsidP="00371A0A">
      <w:pPr>
        <w:pStyle w:val="L1-1"/>
        <w:widowControl/>
        <w:numPr>
          <w:ilvl w:val="0"/>
          <w:numId w:val="1"/>
        </w:numPr>
        <w:tabs>
          <w:tab w:val="left" w:pos="2880"/>
          <w:tab w:val="left" w:pos="3600"/>
          <w:tab w:val="left" w:pos="4320"/>
          <w:tab w:val="left" w:pos="5040"/>
          <w:tab w:val="left" w:pos="5760"/>
          <w:tab w:val="left" w:pos="6480"/>
          <w:tab w:val="left" w:pos="7198"/>
        </w:tabs>
        <w:ind w:left="1440" w:right="720" w:firstLine="0"/>
        <w:rPr>
          <w:b/>
          <w:bCs/>
          <w:color w:val="212121"/>
          <w:sz w:val="28"/>
          <w:szCs w:val="28"/>
        </w:rPr>
      </w:pPr>
      <w:r w:rsidRPr="00D66E1C">
        <w:rPr>
          <w:b/>
          <w:bCs/>
          <w:color w:val="212121"/>
          <w:sz w:val="28"/>
          <w:szCs w:val="28"/>
        </w:rPr>
        <w:t xml:space="preserve"> </w:t>
      </w:r>
      <w:r w:rsidR="0075158D" w:rsidRPr="00D66E1C">
        <w:rPr>
          <w:b/>
          <w:bCs/>
          <w:color w:val="212121"/>
          <w:sz w:val="28"/>
          <w:szCs w:val="28"/>
        </w:rPr>
        <w:t>A witness understands the nature of an oath if he or she appreciates the difference between truth and falsehood, the necessity for telling the truth, and the fact that a witness who testifies falsely may be punished.</w:t>
      </w:r>
    </w:p>
    <w:p w14:paraId="620C457B" w14:textId="77777777" w:rsidR="0075158D" w:rsidRPr="00D66E1C" w:rsidRDefault="0075158D" w:rsidP="00910B8A">
      <w:pPr>
        <w:pStyle w:val="ListParagra"/>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18"/>
        </w:tabs>
        <w:spacing w:after="0" w:line="240" w:lineRule="auto"/>
        <w:ind w:left="720"/>
        <w:jc w:val="left"/>
        <w:rPr>
          <w:rFonts w:ascii="Times New Roman" w:hAnsi="Times New Roman" w:cs="Times New Roman"/>
          <w:b/>
          <w:bCs/>
          <w:color w:val="212121"/>
          <w:sz w:val="28"/>
          <w:szCs w:val="28"/>
        </w:rPr>
      </w:pPr>
    </w:p>
    <w:p w14:paraId="0BD2782C" w14:textId="77777777" w:rsidR="0075158D" w:rsidRPr="00D66E1C" w:rsidRDefault="000B0FC2" w:rsidP="000B0FC2">
      <w:pPr>
        <w:pStyle w:val="L1-1"/>
        <w:widowControl/>
        <w:numPr>
          <w:ilvl w:val="0"/>
          <w:numId w:val="1"/>
        </w:numPr>
        <w:tabs>
          <w:tab w:val="left" w:pos="2880"/>
          <w:tab w:val="left" w:pos="3600"/>
          <w:tab w:val="left" w:pos="4320"/>
          <w:tab w:val="left" w:pos="5040"/>
          <w:tab w:val="left" w:pos="5760"/>
          <w:tab w:val="left" w:pos="6480"/>
          <w:tab w:val="left" w:pos="7198"/>
        </w:tabs>
        <w:ind w:left="1440" w:right="720" w:firstLine="0"/>
        <w:rPr>
          <w:b/>
          <w:bCs/>
          <w:color w:val="212121"/>
          <w:sz w:val="28"/>
          <w:szCs w:val="28"/>
        </w:rPr>
      </w:pPr>
      <w:r w:rsidRPr="00D66E1C">
        <w:rPr>
          <w:b/>
          <w:bCs/>
          <w:color w:val="212121"/>
          <w:sz w:val="28"/>
          <w:szCs w:val="28"/>
        </w:rPr>
        <w:t xml:space="preserve"> </w:t>
      </w:r>
      <w:r w:rsidR="0075158D" w:rsidRPr="00D66E1C">
        <w:rPr>
          <w:b/>
          <w:bCs/>
          <w:color w:val="212121"/>
          <w:sz w:val="28"/>
          <w:szCs w:val="28"/>
        </w:rPr>
        <w:t xml:space="preserve">A witness ineligible to testify under oath pursuant to paragraph (a) or (b) may nevertheless be permitted to give unsworn evidence if the court is satisfied that the witness possesses sufficient intelligence and capacity to justify the reception thereof. </w:t>
      </w:r>
    </w:p>
    <w:p w14:paraId="2458E676" w14:textId="77777777" w:rsidR="00910B8A" w:rsidRPr="00D66E1C" w:rsidRDefault="00910B8A" w:rsidP="00910B8A">
      <w:pPr>
        <w:widowControl/>
        <w:numPr>
          <w:ilvl w:val="12"/>
          <w:numId w:val="0"/>
        </w:numPr>
        <w:tabs>
          <w:tab w:val="left" w:pos="720"/>
          <w:tab w:val="left" w:pos="1320"/>
          <w:tab w:val="left" w:pos="2040"/>
          <w:tab w:val="left" w:pos="2760"/>
          <w:tab w:val="left" w:pos="3480"/>
          <w:tab w:val="left" w:pos="4200"/>
          <w:tab w:val="left" w:pos="4920"/>
          <w:tab w:val="left" w:pos="5638"/>
        </w:tabs>
        <w:ind w:left="720" w:right="720"/>
        <w:jc w:val="both"/>
        <w:rPr>
          <w:b/>
          <w:bCs/>
          <w:color w:val="212121"/>
          <w:sz w:val="28"/>
          <w:szCs w:val="28"/>
        </w:rPr>
      </w:pPr>
    </w:p>
    <w:p w14:paraId="018DF25F" w14:textId="77777777" w:rsidR="0075158D" w:rsidRDefault="0075158D" w:rsidP="00910B8A">
      <w:pPr>
        <w:widowControl/>
        <w:numPr>
          <w:ilvl w:val="12"/>
          <w:numId w:val="0"/>
        </w:numPr>
        <w:tabs>
          <w:tab w:val="left" w:pos="720"/>
          <w:tab w:val="left" w:pos="1320"/>
          <w:tab w:val="left" w:pos="2040"/>
          <w:tab w:val="left" w:pos="2760"/>
          <w:tab w:val="left" w:pos="3480"/>
          <w:tab w:val="left" w:pos="4200"/>
          <w:tab w:val="left" w:pos="4920"/>
          <w:tab w:val="left" w:pos="5638"/>
        </w:tabs>
        <w:ind w:left="720" w:right="720"/>
        <w:jc w:val="both"/>
        <w:rPr>
          <w:b/>
          <w:bCs/>
          <w:color w:val="212121"/>
          <w:sz w:val="28"/>
          <w:szCs w:val="28"/>
        </w:rPr>
      </w:pPr>
      <w:r w:rsidRPr="00D66E1C">
        <w:rPr>
          <w:b/>
          <w:bCs/>
          <w:color w:val="212121"/>
          <w:sz w:val="28"/>
          <w:szCs w:val="28"/>
        </w:rPr>
        <w:t>(3) In a Family Court proceeding, a</w:t>
      </w:r>
      <w:r w:rsidRPr="00D66E1C">
        <w:rPr>
          <w:color w:val="212121"/>
          <w:sz w:val="28"/>
          <w:szCs w:val="28"/>
        </w:rPr>
        <w:t xml:space="preserve"> </w:t>
      </w:r>
      <w:r w:rsidRPr="00D66E1C">
        <w:rPr>
          <w:b/>
          <w:bCs/>
          <w:color w:val="212121"/>
          <w:sz w:val="28"/>
          <w:szCs w:val="28"/>
        </w:rPr>
        <w:t>judge may dispense with the formality of placing a minor under oath before taking the minor’s testimony.</w:t>
      </w:r>
    </w:p>
    <w:p w14:paraId="3D97CE26" w14:textId="77777777" w:rsidR="00400572" w:rsidRDefault="00400572" w:rsidP="00910B8A">
      <w:pPr>
        <w:widowControl/>
        <w:numPr>
          <w:ilvl w:val="12"/>
          <w:numId w:val="0"/>
        </w:numPr>
        <w:tabs>
          <w:tab w:val="left" w:pos="720"/>
          <w:tab w:val="left" w:pos="1320"/>
          <w:tab w:val="left" w:pos="2040"/>
          <w:tab w:val="left" w:pos="2760"/>
          <w:tab w:val="left" w:pos="3480"/>
          <w:tab w:val="left" w:pos="4200"/>
          <w:tab w:val="left" w:pos="4920"/>
          <w:tab w:val="left" w:pos="5638"/>
        </w:tabs>
        <w:ind w:left="720" w:right="720"/>
        <w:jc w:val="both"/>
        <w:rPr>
          <w:b/>
          <w:bCs/>
          <w:color w:val="212121"/>
          <w:sz w:val="28"/>
          <w:szCs w:val="28"/>
        </w:rPr>
      </w:pPr>
    </w:p>
    <w:p w14:paraId="03CC6505" w14:textId="77777777" w:rsidR="00D66E1C" w:rsidRPr="00D66E1C" w:rsidRDefault="00D66E1C" w:rsidP="00910B8A">
      <w:pPr>
        <w:widowControl/>
        <w:numPr>
          <w:ilvl w:val="12"/>
          <w:numId w:val="0"/>
        </w:numPr>
        <w:tabs>
          <w:tab w:val="left" w:pos="720"/>
          <w:tab w:val="left" w:pos="1320"/>
          <w:tab w:val="left" w:pos="2040"/>
          <w:tab w:val="left" w:pos="2760"/>
          <w:tab w:val="left" w:pos="3480"/>
          <w:tab w:val="left" w:pos="4200"/>
          <w:tab w:val="left" w:pos="4920"/>
          <w:tab w:val="left" w:pos="5638"/>
        </w:tabs>
        <w:ind w:left="720" w:right="720"/>
        <w:jc w:val="both"/>
        <w:rPr>
          <w:b/>
          <w:bCs/>
          <w:color w:val="212121"/>
          <w:sz w:val="28"/>
          <w:szCs w:val="28"/>
        </w:rPr>
      </w:pPr>
    </w:p>
    <w:p w14:paraId="534C2E42" w14:textId="77777777" w:rsidR="0075158D" w:rsidRPr="00D66E1C" w:rsidRDefault="0075158D" w:rsidP="00D66E1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center"/>
        <w:rPr>
          <w:b/>
          <w:bCs/>
          <w:sz w:val="24"/>
          <w:szCs w:val="24"/>
        </w:rPr>
      </w:pPr>
      <w:r w:rsidRPr="00D66E1C">
        <w:rPr>
          <w:b/>
          <w:bCs/>
          <w:sz w:val="24"/>
          <w:szCs w:val="24"/>
        </w:rPr>
        <w:t>Note</w:t>
      </w:r>
    </w:p>
    <w:p w14:paraId="2C9771B8" w14:textId="77777777" w:rsidR="00D66E1C" w:rsidRPr="00D66E1C" w:rsidRDefault="00D66E1C" w:rsidP="00910B8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b/>
          <w:bCs/>
          <w:sz w:val="24"/>
          <w:szCs w:val="24"/>
        </w:rPr>
      </w:pPr>
    </w:p>
    <w:p w14:paraId="48F26E38" w14:textId="77777777" w:rsidR="0075158D" w:rsidRDefault="0075158D" w:rsidP="00910B8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sz w:val="24"/>
          <w:szCs w:val="24"/>
        </w:rPr>
      </w:pPr>
      <w:r w:rsidRPr="00D66E1C">
        <w:rPr>
          <w:b/>
          <w:bCs/>
          <w:sz w:val="24"/>
          <w:szCs w:val="24"/>
        </w:rPr>
        <w:tab/>
        <w:t xml:space="preserve">Subdivision (1). </w:t>
      </w:r>
      <w:r w:rsidRPr="00D66E1C">
        <w:rPr>
          <w:sz w:val="24"/>
          <w:szCs w:val="24"/>
        </w:rPr>
        <w:t>This rule is derived from Court of Appeals precedent that holds that requiring a witness to take an oath or make an affirmation is a “traditional safeguard[ ] to truthfulness</w:t>
      </w:r>
      <w:r w:rsidR="00F629A6">
        <w:rPr>
          <w:sz w:val="24"/>
          <w:szCs w:val="24"/>
        </w:rPr>
        <w:t>”</w:t>
      </w:r>
      <w:r w:rsidRPr="00D66E1C">
        <w:rPr>
          <w:sz w:val="24"/>
          <w:szCs w:val="24"/>
        </w:rPr>
        <w:t xml:space="preserve"> (</w:t>
      </w:r>
      <w:r w:rsidRPr="00D66E1C">
        <w:rPr>
          <w:i/>
          <w:iCs/>
          <w:sz w:val="24"/>
          <w:szCs w:val="24"/>
        </w:rPr>
        <w:t>Matter of Hecht v Monaghan</w:t>
      </w:r>
      <w:r w:rsidRPr="00D66E1C">
        <w:rPr>
          <w:sz w:val="24"/>
          <w:szCs w:val="24"/>
        </w:rPr>
        <w:t xml:space="preserve">, 307 NY 461, 474 [1954]). </w:t>
      </w:r>
      <w:r w:rsidRPr="00D66E1C">
        <w:rPr>
          <w:color w:val="212121"/>
          <w:sz w:val="24"/>
          <w:szCs w:val="24"/>
        </w:rPr>
        <w:t>The requirement of an oath or affirmation, the Court has observed, serves two functi</w:t>
      </w:r>
      <w:r w:rsidR="00F629A6">
        <w:rPr>
          <w:color w:val="212121"/>
          <w:sz w:val="24"/>
          <w:szCs w:val="24"/>
        </w:rPr>
        <w:t>ons: “</w:t>
      </w:r>
      <w:r w:rsidRPr="00D66E1C">
        <w:rPr>
          <w:color w:val="212121"/>
          <w:sz w:val="24"/>
          <w:szCs w:val="24"/>
        </w:rPr>
        <w:t>(1) to awaken the witness to his moral duty to tell the truth, and (2) to deter false testimony by providing a legal ground for perjury prosecutions</w:t>
      </w:r>
      <w:r w:rsidR="00F629A6">
        <w:rPr>
          <w:color w:val="212121"/>
          <w:sz w:val="24"/>
          <w:szCs w:val="24"/>
        </w:rPr>
        <w:t>”</w:t>
      </w:r>
      <w:r w:rsidRPr="00D66E1C">
        <w:rPr>
          <w:color w:val="212121"/>
          <w:sz w:val="24"/>
          <w:szCs w:val="24"/>
        </w:rPr>
        <w:t xml:space="preserve"> (</w:t>
      </w:r>
      <w:r w:rsidRPr="00D66E1C">
        <w:rPr>
          <w:i/>
          <w:iCs/>
          <w:sz w:val="24"/>
          <w:szCs w:val="24"/>
        </w:rPr>
        <w:t>see Matter of Brown v Ristich</w:t>
      </w:r>
      <w:r w:rsidRPr="00D66E1C">
        <w:rPr>
          <w:sz w:val="24"/>
          <w:szCs w:val="24"/>
        </w:rPr>
        <w:t xml:space="preserve">, 36 NY2d 183,189 [1975]). The form of the oath or affirmation as stated in this rule is taken substantially verbatim from CPLR 2309 (b). </w:t>
      </w:r>
    </w:p>
    <w:p w14:paraId="177B3409" w14:textId="77777777" w:rsidR="00D66E1C" w:rsidRPr="00D66E1C" w:rsidRDefault="00D66E1C" w:rsidP="00910B8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sz w:val="24"/>
          <w:szCs w:val="24"/>
        </w:rPr>
      </w:pPr>
    </w:p>
    <w:p w14:paraId="6C880101" w14:textId="77777777" w:rsidR="0075158D" w:rsidRDefault="00D66E1C" w:rsidP="00D66E1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color w:val="212121"/>
          <w:sz w:val="24"/>
          <w:szCs w:val="24"/>
        </w:rPr>
      </w:pPr>
      <w:r>
        <w:rPr>
          <w:sz w:val="24"/>
          <w:szCs w:val="24"/>
        </w:rPr>
        <w:tab/>
      </w:r>
      <w:r w:rsidR="0075158D" w:rsidRPr="00D66E1C">
        <w:rPr>
          <w:sz w:val="24"/>
          <w:szCs w:val="24"/>
        </w:rPr>
        <w:t>The choice whether to take an oath or affirmation rests with the witness. As to this choice, the Court of Appeals has observed that as a general proposition “</w:t>
      </w:r>
      <w:r w:rsidR="0075158D" w:rsidRPr="00D66E1C">
        <w:rPr>
          <w:color w:val="212121"/>
          <w:sz w:val="24"/>
          <w:szCs w:val="24"/>
        </w:rPr>
        <w:t>any attempt to discredit or otherwise penalize a witness because of his . . . exercise of his right to affirm the truth of his testimony is improper</w:t>
      </w:r>
      <w:r w:rsidR="00F629A6">
        <w:rPr>
          <w:color w:val="212121"/>
          <w:sz w:val="24"/>
          <w:szCs w:val="24"/>
        </w:rPr>
        <w:t>”</w:t>
      </w:r>
      <w:r w:rsidR="0075158D" w:rsidRPr="00D66E1C">
        <w:rPr>
          <w:color w:val="212121"/>
          <w:sz w:val="24"/>
          <w:szCs w:val="24"/>
        </w:rPr>
        <w:t xml:space="preserve"> (</w:t>
      </w:r>
      <w:r w:rsidR="0075158D" w:rsidRPr="00D66E1C">
        <w:rPr>
          <w:i/>
          <w:iCs/>
          <w:color w:val="212121"/>
          <w:sz w:val="24"/>
          <w:szCs w:val="24"/>
        </w:rPr>
        <w:t>People v Wood</w:t>
      </w:r>
      <w:r w:rsidR="0075158D" w:rsidRPr="00D66E1C">
        <w:rPr>
          <w:color w:val="212121"/>
          <w:sz w:val="24"/>
          <w:szCs w:val="24"/>
        </w:rPr>
        <w:t>, 66 NY2d 374, 378 [1985]).</w:t>
      </w:r>
    </w:p>
    <w:p w14:paraId="389B64FF" w14:textId="77777777" w:rsidR="00D66E1C" w:rsidRPr="00D66E1C" w:rsidRDefault="00D66E1C" w:rsidP="00910B8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firstLine="720"/>
        <w:jc w:val="both"/>
        <w:rPr>
          <w:color w:val="212121"/>
          <w:sz w:val="24"/>
          <w:szCs w:val="24"/>
        </w:rPr>
      </w:pPr>
    </w:p>
    <w:p w14:paraId="3C7E5830" w14:textId="77777777" w:rsidR="0075158D" w:rsidRDefault="0075158D" w:rsidP="00910B8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sz w:val="24"/>
          <w:szCs w:val="24"/>
        </w:rPr>
      </w:pPr>
      <w:r w:rsidRPr="00D66E1C">
        <w:rPr>
          <w:sz w:val="24"/>
          <w:szCs w:val="24"/>
        </w:rPr>
        <w:tab/>
        <w:t>Whether the witness has sufficient intelligence to understand the nature of an oath or affirmation raises an issue of competency to be decided by the court before the witness is sworn (</w:t>
      </w:r>
      <w:r w:rsidRPr="00D66E1C">
        <w:rPr>
          <w:i/>
          <w:iCs/>
          <w:sz w:val="24"/>
          <w:szCs w:val="24"/>
        </w:rPr>
        <w:t>see</w:t>
      </w:r>
      <w:r w:rsidRPr="00D66E1C">
        <w:rPr>
          <w:sz w:val="24"/>
          <w:szCs w:val="24"/>
        </w:rPr>
        <w:t xml:space="preserve"> Guide to NY Evid rule 6.01 and Note).</w:t>
      </w:r>
    </w:p>
    <w:p w14:paraId="560A0333" w14:textId="77777777" w:rsidR="00D66E1C" w:rsidRPr="00D66E1C" w:rsidRDefault="00D66E1C" w:rsidP="00910B8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sz w:val="24"/>
          <w:szCs w:val="24"/>
        </w:rPr>
      </w:pPr>
    </w:p>
    <w:p w14:paraId="5929AC98" w14:textId="77777777" w:rsidR="0075158D" w:rsidRDefault="0075158D" w:rsidP="00910B8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color w:val="212121"/>
          <w:sz w:val="24"/>
          <w:szCs w:val="24"/>
        </w:rPr>
      </w:pPr>
      <w:r w:rsidRPr="00D66E1C">
        <w:rPr>
          <w:sz w:val="24"/>
          <w:szCs w:val="24"/>
        </w:rPr>
        <w:tab/>
      </w:r>
      <w:r w:rsidRPr="00D66E1C">
        <w:rPr>
          <w:b/>
          <w:bCs/>
          <w:sz w:val="24"/>
          <w:szCs w:val="24"/>
        </w:rPr>
        <w:t xml:space="preserve">Subdivision (2). </w:t>
      </w:r>
      <w:r w:rsidRPr="00D66E1C">
        <w:rPr>
          <w:sz w:val="24"/>
          <w:szCs w:val="24"/>
        </w:rPr>
        <w:t>This rule restates verbatim</w:t>
      </w:r>
      <w:r w:rsidRPr="00D66E1C">
        <w:rPr>
          <w:b/>
          <w:bCs/>
          <w:sz w:val="24"/>
          <w:szCs w:val="24"/>
        </w:rPr>
        <w:t xml:space="preserve"> </w:t>
      </w:r>
      <w:r w:rsidRPr="00D66E1C">
        <w:rPr>
          <w:sz w:val="24"/>
          <w:szCs w:val="24"/>
        </w:rPr>
        <w:t>CPL 60.20 (2).</w:t>
      </w:r>
      <w:r w:rsidRPr="00D66E1C">
        <w:rPr>
          <w:b/>
          <w:bCs/>
          <w:sz w:val="24"/>
          <w:szCs w:val="24"/>
        </w:rPr>
        <w:t xml:space="preserve"> </w:t>
      </w:r>
      <w:r w:rsidRPr="00D66E1C">
        <w:rPr>
          <w:sz w:val="24"/>
          <w:szCs w:val="24"/>
        </w:rPr>
        <w:t xml:space="preserve">Of note, CPL 60.20 (3) provides a defendant </w:t>
      </w:r>
      <w:r w:rsidRPr="00D66E1C">
        <w:rPr>
          <w:color w:val="212121"/>
          <w:sz w:val="24"/>
          <w:szCs w:val="24"/>
        </w:rPr>
        <w:t>may not be convicted of an offense solely upon unsworn evidence given pursuant to CPL 60.20 (2).</w:t>
      </w:r>
    </w:p>
    <w:p w14:paraId="2ECF20BB" w14:textId="77777777" w:rsidR="00D66E1C" w:rsidRPr="00D66E1C" w:rsidRDefault="00D66E1C" w:rsidP="00910B8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color w:val="212121"/>
          <w:sz w:val="24"/>
          <w:szCs w:val="24"/>
        </w:rPr>
      </w:pPr>
    </w:p>
    <w:p w14:paraId="5B2773C8" w14:textId="77777777" w:rsidR="0075158D" w:rsidRPr="00D66E1C" w:rsidRDefault="0075158D" w:rsidP="00910B8A">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both"/>
        <w:rPr>
          <w:sz w:val="24"/>
          <w:szCs w:val="24"/>
        </w:rPr>
      </w:pPr>
      <w:r w:rsidRPr="00D66E1C">
        <w:rPr>
          <w:color w:val="212121"/>
          <w:sz w:val="24"/>
          <w:szCs w:val="24"/>
        </w:rPr>
        <w:tab/>
      </w:r>
      <w:r w:rsidRPr="00D66E1C">
        <w:rPr>
          <w:b/>
          <w:bCs/>
          <w:color w:val="212121"/>
          <w:sz w:val="24"/>
          <w:szCs w:val="24"/>
        </w:rPr>
        <w:t>Subdivision (3).</w:t>
      </w:r>
      <w:r w:rsidRPr="00D66E1C">
        <w:rPr>
          <w:color w:val="212121"/>
          <w:sz w:val="24"/>
          <w:szCs w:val="24"/>
        </w:rPr>
        <w:t xml:space="preserve"> This rule is </w:t>
      </w:r>
      <w:r w:rsidR="004F0AA4">
        <w:rPr>
          <w:color w:val="212121"/>
          <w:sz w:val="24"/>
          <w:szCs w:val="24"/>
        </w:rPr>
        <w:t xml:space="preserve">taken </w:t>
      </w:r>
      <w:r w:rsidRPr="00D66E1C">
        <w:rPr>
          <w:color w:val="212121"/>
          <w:sz w:val="24"/>
          <w:szCs w:val="24"/>
        </w:rPr>
        <w:t xml:space="preserve">substantially verbatim from </w:t>
      </w:r>
      <w:bookmarkStart w:id="0" w:name="_Hlk72356240"/>
      <w:r w:rsidRPr="00D66E1C">
        <w:rPr>
          <w:color w:val="212121"/>
          <w:sz w:val="24"/>
          <w:szCs w:val="24"/>
        </w:rPr>
        <w:t>Family Court Act § 152 (b)</w:t>
      </w:r>
      <w:bookmarkEnd w:id="0"/>
      <w:r w:rsidRPr="00D66E1C">
        <w:rPr>
          <w:color w:val="212121"/>
          <w:sz w:val="24"/>
          <w:szCs w:val="24"/>
        </w:rPr>
        <w:t>. Appellate Division decisions hold that this statutory provision applies to Family Court proceedings that are civil in nature (</w:t>
      </w:r>
      <w:r w:rsidRPr="00D66E1C">
        <w:rPr>
          <w:i/>
          <w:iCs/>
          <w:color w:val="212121"/>
          <w:sz w:val="24"/>
          <w:szCs w:val="24"/>
        </w:rPr>
        <w:t xml:space="preserve">see e.g. </w:t>
      </w:r>
      <w:r w:rsidRPr="00D66E1C">
        <w:rPr>
          <w:i/>
          <w:iCs/>
          <w:color w:val="252525"/>
          <w:sz w:val="24"/>
          <w:szCs w:val="24"/>
        </w:rPr>
        <w:t>Matter of Danielle M.</w:t>
      </w:r>
      <w:r w:rsidRPr="00D66E1C">
        <w:rPr>
          <w:color w:val="252525"/>
          <w:sz w:val="24"/>
          <w:szCs w:val="24"/>
        </w:rPr>
        <w:t xml:space="preserve">, </w:t>
      </w:r>
      <w:r w:rsidRPr="00D66E1C">
        <w:rPr>
          <w:color w:val="212121"/>
          <w:sz w:val="24"/>
          <w:szCs w:val="24"/>
        </w:rPr>
        <w:t xml:space="preserve">151 AD2d 240 [1st Dept 1989]; </w:t>
      </w:r>
      <w:r w:rsidRPr="00D66E1C">
        <w:rPr>
          <w:i/>
          <w:iCs/>
          <w:color w:val="212121"/>
          <w:sz w:val="24"/>
          <w:szCs w:val="24"/>
        </w:rPr>
        <w:t>Matter of Elizabeth D.</w:t>
      </w:r>
      <w:r w:rsidRPr="00D66E1C">
        <w:rPr>
          <w:color w:val="212121"/>
          <w:sz w:val="24"/>
          <w:szCs w:val="24"/>
        </w:rPr>
        <w:t>, 139 AD2d 66 [4th Dept 1988]</w:t>
      </w:r>
      <w:r w:rsidRPr="00D66E1C">
        <w:rPr>
          <w:color w:val="252525"/>
          <w:sz w:val="24"/>
          <w:szCs w:val="24"/>
        </w:rPr>
        <w:t xml:space="preserve"> </w:t>
      </w:r>
      <w:r w:rsidRPr="00D66E1C">
        <w:rPr>
          <w:color w:val="212121"/>
          <w:sz w:val="24"/>
          <w:szCs w:val="24"/>
        </w:rPr>
        <w:t>[child protective proceedings]). In quasi-criminal proceedings in Family Court, however, the Appellate Division has held that CPL 60.20 (3)’s requirement of corroboration of an unsworn witness applies (see</w:t>
      </w:r>
      <w:r w:rsidRPr="00D66E1C">
        <w:rPr>
          <w:i/>
          <w:iCs/>
          <w:color w:val="212121"/>
          <w:sz w:val="24"/>
          <w:szCs w:val="24"/>
        </w:rPr>
        <w:t xml:space="preserve"> Matter of Wade H</w:t>
      </w:r>
      <w:r w:rsidRPr="00D66E1C">
        <w:rPr>
          <w:color w:val="212121"/>
          <w:sz w:val="24"/>
          <w:szCs w:val="24"/>
        </w:rPr>
        <w:t xml:space="preserve">., 41 AD2d 817 [1st Dept 1973]; </w:t>
      </w:r>
      <w:r w:rsidRPr="00D66E1C">
        <w:rPr>
          <w:i/>
          <w:iCs/>
          <w:sz w:val="24"/>
          <w:szCs w:val="24"/>
        </w:rPr>
        <w:t>Matter of Steven B.</w:t>
      </w:r>
      <w:r w:rsidRPr="00D66E1C">
        <w:rPr>
          <w:sz w:val="24"/>
          <w:szCs w:val="24"/>
        </w:rPr>
        <w:t>, 30 AD2d 442, 444 [1st Dept 1968] [juvenile delinquency proceedings]).</w:t>
      </w:r>
    </w:p>
    <w:sectPr w:rsidR="0075158D" w:rsidRPr="00D66E1C" w:rsidSect="00910B8A">
      <w:type w:val="continuous"/>
      <w:pgSz w:w="12240" w:h="15840"/>
      <w:pgMar w:top="1440" w:right="2160" w:bottom="1440" w:left="216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42F2" w14:textId="77777777" w:rsidR="0089415B" w:rsidRDefault="0089415B" w:rsidP="00D66E1C">
      <w:r>
        <w:separator/>
      </w:r>
    </w:p>
  </w:endnote>
  <w:endnote w:type="continuationSeparator" w:id="0">
    <w:p w14:paraId="110554CC" w14:textId="77777777" w:rsidR="0089415B" w:rsidRDefault="0089415B" w:rsidP="00D6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CD38" w14:textId="4A56288F" w:rsidR="00D66E1C" w:rsidRDefault="00D66E1C" w:rsidP="00D66E1C">
    <w:pPr>
      <w:pStyle w:val="Footer"/>
      <w:jc w:val="center"/>
    </w:pPr>
    <w:r>
      <w:fldChar w:fldCharType="begin"/>
    </w:r>
    <w:r>
      <w:instrText xml:space="preserve"> PAGE   \* MERGEFORMAT </w:instrText>
    </w:r>
    <w:r>
      <w:fldChar w:fldCharType="separate"/>
    </w:r>
    <w:r w:rsidR="006C67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6052" w14:textId="77777777" w:rsidR="0089415B" w:rsidRDefault="0089415B" w:rsidP="00D66E1C">
      <w:r>
        <w:separator/>
      </w:r>
    </w:p>
  </w:footnote>
  <w:footnote w:type="continuationSeparator" w:id="0">
    <w:p w14:paraId="34C9E6CB" w14:textId="77777777" w:rsidR="0089415B" w:rsidRDefault="0089415B" w:rsidP="00D6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0B3D"/>
    <w:multiLevelType w:val="multilevel"/>
    <w:tmpl w:val="8168FA50"/>
    <w:lvl w:ilvl="0">
      <w:start w:val="1"/>
      <w:numFmt w:val="lowerLetter"/>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40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8A"/>
    <w:rsid w:val="000B0FC2"/>
    <w:rsid w:val="000C1B7B"/>
    <w:rsid w:val="0018199D"/>
    <w:rsid w:val="00260026"/>
    <w:rsid w:val="00371A0A"/>
    <w:rsid w:val="003E63FB"/>
    <w:rsid w:val="00400572"/>
    <w:rsid w:val="004B2441"/>
    <w:rsid w:val="004F0AA4"/>
    <w:rsid w:val="005A44A3"/>
    <w:rsid w:val="005C31C7"/>
    <w:rsid w:val="00635AC9"/>
    <w:rsid w:val="006975FB"/>
    <w:rsid w:val="006C6764"/>
    <w:rsid w:val="0075158D"/>
    <w:rsid w:val="0089415B"/>
    <w:rsid w:val="008C7D15"/>
    <w:rsid w:val="00910B8A"/>
    <w:rsid w:val="00A21891"/>
    <w:rsid w:val="00A62531"/>
    <w:rsid w:val="00B009F5"/>
    <w:rsid w:val="00B53941"/>
    <w:rsid w:val="00D66E1C"/>
    <w:rsid w:val="00D739EC"/>
    <w:rsid w:val="00DD3D23"/>
    <w:rsid w:val="00DF3F93"/>
    <w:rsid w:val="00E151A4"/>
    <w:rsid w:val="00F629A6"/>
    <w:rsid w:val="00F6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4471F"/>
  <w14:defaultImageDpi w14:val="0"/>
  <w15:docId w15:val="{1F4A64FC-F1F9-4757-B02D-4D46338B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
    <w:name w:val="L1-1"/>
    <w:uiPriority w:val="99"/>
    <w:pPr>
      <w:widowControl w:val="0"/>
      <w:autoSpaceDE w:val="0"/>
      <w:autoSpaceDN w:val="0"/>
      <w:adjustRightInd w:val="0"/>
      <w:spacing w:after="0" w:line="240" w:lineRule="auto"/>
      <w:ind w:left="2280" w:hanging="420"/>
      <w:jc w:val="both"/>
    </w:pPr>
    <w:rPr>
      <w:rFonts w:ascii="Times New Roman" w:hAnsi="Times New Roman"/>
      <w:sz w:val="24"/>
      <w:szCs w:val="24"/>
    </w:rPr>
  </w:style>
  <w:style w:type="paragraph" w:customStyle="1" w:styleId="L1-2">
    <w:name w:val="L1-2"/>
    <w:uiPriority w:val="99"/>
    <w:pPr>
      <w:widowControl w:val="0"/>
      <w:autoSpaceDE w:val="0"/>
      <w:autoSpaceDN w:val="0"/>
      <w:adjustRightInd w:val="0"/>
      <w:spacing w:after="0" w:line="240" w:lineRule="auto"/>
      <w:ind w:left="2940" w:hanging="360"/>
      <w:jc w:val="both"/>
    </w:pPr>
    <w:rPr>
      <w:rFonts w:ascii="Times New Roman" w:hAnsi="Times New Roman"/>
      <w:sz w:val="24"/>
      <w:szCs w:val="24"/>
    </w:rPr>
  </w:style>
  <w:style w:type="paragraph" w:customStyle="1" w:styleId="L1-3">
    <w:name w:val="L1-3"/>
    <w:uiPriority w:val="99"/>
    <w:pPr>
      <w:widowControl w:val="0"/>
      <w:autoSpaceDE w:val="0"/>
      <w:autoSpaceDN w:val="0"/>
      <w:adjustRightInd w:val="0"/>
      <w:spacing w:after="0" w:line="240" w:lineRule="auto"/>
      <w:ind w:left="3660" w:hanging="180"/>
      <w:jc w:val="both"/>
    </w:pPr>
    <w:rPr>
      <w:rFonts w:ascii="Times New Roman" w:hAnsi="Times New Roman"/>
      <w:sz w:val="24"/>
      <w:szCs w:val="24"/>
    </w:rPr>
  </w:style>
  <w:style w:type="paragraph" w:customStyle="1" w:styleId="L1-4">
    <w:name w:val="L1-4"/>
    <w:uiPriority w:val="99"/>
    <w:pPr>
      <w:widowControl w:val="0"/>
      <w:autoSpaceDE w:val="0"/>
      <w:autoSpaceDN w:val="0"/>
      <w:adjustRightInd w:val="0"/>
      <w:spacing w:after="0" w:line="240" w:lineRule="auto"/>
      <w:ind w:left="4380" w:hanging="360"/>
      <w:jc w:val="both"/>
    </w:pPr>
    <w:rPr>
      <w:rFonts w:ascii="Times New Roman" w:hAnsi="Times New Roman"/>
      <w:sz w:val="24"/>
      <w:szCs w:val="24"/>
    </w:rPr>
  </w:style>
  <w:style w:type="paragraph" w:customStyle="1" w:styleId="L1-5">
    <w:name w:val="L1-5"/>
    <w:uiPriority w:val="99"/>
    <w:pPr>
      <w:widowControl w:val="0"/>
      <w:autoSpaceDE w:val="0"/>
      <w:autoSpaceDN w:val="0"/>
      <w:adjustRightInd w:val="0"/>
      <w:spacing w:after="0" w:line="240" w:lineRule="auto"/>
      <w:ind w:left="5100" w:hanging="360"/>
      <w:jc w:val="both"/>
    </w:pPr>
    <w:rPr>
      <w:rFonts w:ascii="Times New Roman" w:hAnsi="Times New Roman"/>
      <w:sz w:val="24"/>
      <w:szCs w:val="24"/>
    </w:rPr>
  </w:style>
  <w:style w:type="paragraph" w:customStyle="1" w:styleId="L1-6">
    <w:name w:val="L1-6"/>
    <w:uiPriority w:val="99"/>
    <w:pPr>
      <w:widowControl w:val="0"/>
      <w:autoSpaceDE w:val="0"/>
      <w:autoSpaceDN w:val="0"/>
      <w:adjustRightInd w:val="0"/>
      <w:spacing w:after="0" w:line="240" w:lineRule="auto"/>
      <w:ind w:left="5820" w:hanging="180"/>
      <w:jc w:val="both"/>
    </w:pPr>
    <w:rPr>
      <w:rFonts w:ascii="Times New Roman" w:hAnsi="Times New Roman"/>
      <w:sz w:val="24"/>
      <w:szCs w:val="24"/>
    </w:rPr>
  </w:style>
  <w:style w:type="paragraph" w:customStyle="1" w:styleId="L1-7">
    <w:name w:val="L1-7"/>
    <w:uiPriority w:val="99"/>
    <w:pPr>
      <w:widowControl w:val="0"/>
      <w:autoSpaceDE w:val="0"/>
      <w:autoSpaceDN w:val="0"/>
      <w:adjustRightInd w:val="0"/>
      <w:spacing w:after="0" w:line="240" w:lineRule="auto"/>
      <w:ind w:left="6540" w:hanging="360"/>
      <w:jc w:val="both"/>
    </w:pPr>
    <w:rPr>
      <w:rFonts w:ascii="Times New Roman" w:hAnsi="Times New Roman"/>
      <w:sz w:val="24"/>
      <w:szCs w:val="24"/>
    </w:rPr>
  </w:style>
  <w:style w:type="paragraph" w:customStyle="1" w:styleId="L1-8">
    <w:name w:val="L1-8"/>
    <w:uiPriority w:val="99"/>
    <w:pPr>
      <w:widowControl w:val="0"/>
      <w:autoSpaceDE w:val="0"/>
      <w:autoSpaceDN w:val="0"/>
      <w:adjustRightInd w:val="0"/>
      <w:spacing w:after="0" w:line="240" w:lineRule="auto"/>
      <w:ind w:left="7260" w:hanging="3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spacing w:after="159" w:line="252" w:lineRule="auto"/>
      <w:ind w:left="720"/>
      <w:jc w:val="both"/>
    </w:pPr>
    <w:rPr>
      <w:rFonts w:ascii="Calibri" w:hAnsi="Calibri" w:cs="Calibri"/>
    </w:rPr>
  </w:style>
  <w:style w:type="paragraph" w:customStyle="1" w:styleId="L1-9">
    <w:name w:val="L1-9"/>
    <w:uiPriority w:val="99"/>
    <w:pPr>
      <w:widowControl w:val="0"/>
      <w:autoSpaceDE w:val="0"/>
      <w:autoSpaceDN w:val="0"/>
      <w:adjustRightInd w:val="0"/>
      <w:spacing w:after="0" w:line="240" w:lineRule="auto"/>
      <w:ind w:left="7980" w:hanging="18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910B8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10B8A"/>
    <w:rPr>
      <w:rFonts w:ascii="Segoe UI" w:hAnsi="Segoe UI" w:cs="Segoe UI"/>
      <w:sz w:val="18"/>
      <w:szCs w:val="18"/>
    </w:rPr>
  </w:style>
  <w:style w:type="paragraph" w:styleId="Header">
    <w:name w:val="header"/>
    <w:basedOn w:val="Normal"/>
    <w:link w:val="HeaderChar"/>
    <w:uiPriority w:val="99"/>
    <w:unhideWhenUsed/>
    <w:rsid w:val="00D66E1C"/>
    <w:pPr>
      <w:tabs>
        <w:tab w:val="center" w:pos="4680"/>
        <w:tab w:val="right" w:pos="9360"/>
      </w:tabs>
    </w:pPr>
  </w:style>
  <w:style w:type="character" w:customStyle="1" w:styleId="HeaderChar">
    <w:name w:val="Header Char"/>
    <w:basedOn w:val="DefaultParagraphFont"/>
    <w:link w:val="Header"/>
    <w:uiPriority w:val="99"/>
    <w:locked/>
    <w:rsid w:val="00D66E1C"/>
    <w:rPr>
      <w:rFonts w:ascii="Times New Roman" w:hAnsi="Times New Roman" w:cs="Times New Roman"/>
      <w:sz w:val="20"/>
      <w:szCs w:val="20"/>
    </w:rPr>
  </w:style>
  <w:style w:type="paragraph" w:styleId="Footer">
    <w:name w:val="footer"/>
    <w:basedOn w:val="Normal"/>
    <w:link w:val="FooterChar"/>
    <w:uiPriority w:val="99"/>
    <w:unhideWhenUsed/>
    <w:rsid w:val="00D66E1C"/>
    <w:pPr>
      <w:tabs>
        <w:tab w:val="center" w:pos="4680"/>
        <w:tab w:val="right" w:pos="9360"/>
      </w:tabs>
    </w:pPr>
  </w:style>
  <w:style w:type="character" w:customStyle="1" w:styleId="FooterChar">
    <w:name w:val="Footer Char"/>
    <w:basedOn w:val="DefaultParagraphFont"/>
    <w:link w:val="Footer"/>
    <w:uiPriority w:val="99"/>
    <w:locked/>
    <w:rsid w:val="00D66E1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DEDA4-2134-4A13-9E3A-D2A5DF18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603</Words>
  <Characters>2951</Characters>
  <Application>Microsoft Office Word</Application>
  <DocSecurity>0</DocSecurity>
  <Lines>77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Whiteman</dc:creator>
  <cp:keywords/>
  <dc:description/>
  <cp:lastModifiedBy>Hon. William Donnino</cp:lastModifiedBy>
  <cp:revision>21</cp:revision>
  <cp:lastPrinted>2021-05-20T02:40:00Z</cp:lastPrinted>
  <dcterms:created xsi:type="dcterms:W3CDTF">2018-02-26T18:07:00Z</dcterms:created>
  <dcterms:modified xsi:type="dcterms:W3CDTF">2021-05-20T02:40:00Z</dcterms:modified>
</cp:coreProperties>
</file>