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DB8C9" w14:textId="77777777" w:rsidR="00383CEF" w:rsidRPr="00BC1C62" w:rsidRDefault="00383CEF">
      <w:pPr>
        <w:tabs>
          <w:tab w:val="center" w:pos="3960"/>
        </w:tabs>
        <w:jc w:val="both"/>
        <w:rPr>
          <w:rFonts w:ascii="Arial" w:eastAsia="Yu Gothic UI" w:hAnsi="Arial" w:cs="Arial"/>
          <w:b/>
          <w:bCs/>
          <w:sz w:val="28"/>
          <w:szCs w:val="28"/>
        </w:rPr>
      </w:pPr>
      <w:r w:rsidRPr="00BC1C62">
        <w:rPr>
          <w:rFonts w:ascii="Arial" w:eastAsia="Yu Gothic UI" w:hAnsi="Arial" w:cs="Arial"/>
          <w:sz w:val="28"/>
          <w:szCs w:val="28"/>
        </w:rPr>
        <w:tab/>
      </w:r>
      <w:r w:rsidRPr="00BC1C62">
        <w:rPr>
          <w:rFonts w:ascii="Arial" w:eastAsia="Yu Gothic UI" w:hAnsi="Arial" w:cs="Arial"/>
          <w:b/>
          <w:bCs/>
          <w:sz w:val="28"/>
          <w:szCs w:val="28"/>
        </w:rPr>
        <w:t>AFFIRMATIVE DEFENSE OF DURESS</w:t>
      </w:r>
    </w:p>
    <w:p w14:paraId="4336D2CF" w14:textId="648FD5EE" w:rsidR="00383CEF" w:rsidRDefault="00383CEF">
      <w:pPr>
        <w:tabs>
          <w:tab w:val="center" w:pos="3960"/>
        </w:tabs>
        <w:jc w:val="both"/>
        <w:rPr>
          <w:rFonts w:ascii="Arial" w:eastAsia="Yu Gothic UI" w:hAnsi="Arial" w:cs="Arial"/>
          <w:b/>
          <w:bCs/>
          <w:sz w:val="28"/>
          <w:szCs w:val="28"/>
        </w:rPr>
      </w:pPr>
      <w:r w:rsidRPr="00BC1C62">
        <w:rPr>
          <w:rFonts w:ascii="Arial" w:eastAsia="Yu Gothic UI" w:hAnsi="Arial" w:cs="Arial"/>
          <w:b/>
          <w:bCs/>
          <w:sz w:val="28"/>
          <w:szCs w:val="28"/>
        </w:rPr>
        <w:tab/>
        <w:t>P</w:t>
      </w:r>
      <w:r w:rsidR="00975078">
        <w:rPr>
          <w:rFonts w:ascii="Arial" w:eastAsia="Yu Gothic UI" w:hAnsi="Arial" w:cs="Arial"/>
          <w:b/>
          <w:bCs/>
          <w:sz w:val="28"/>
          <w:szCs w:val="28"/>
        </w:rPr>
        <w:t xml:space="preserve">enal Law </w:t>
      </w:r>
      <w:r w:rsidR="000C1E29">
        <w:rPr>
          <w:rFonts w:ascii="Arial" w:eastAsia="Yu Gothic UI" w:hAnsi="Arial" w:cs="Arial"/>
          <w:b/>
          <w:bCs/>
          <w:sz w:val="28"/>
          <w:szCs w:val="28"/>
        </w:rPr>
        <w:t>§</w:t>
      </w:r>
      <w:r w:rsidRPr="00BC1C62">
        <w:rPr>
          <w:rFonts w:ascii="Arial" w:eastAsia="Yu Gothic UI" w:hAnsi="Arial" w:cs="Arial"/>
          <w:b/>
          <w:bCs/>
          <w:sz w:val="28"/>
          <w:szCs w:val="28"/>
        </w:rPr>
        <w:t xml:space="preserve"> 40.00</w:t>
      </w:r>
    </w:p>
    <w:p w14:paraId="71F4D247" w14:textId="2942A1AB" w:rsidR="00577A2A" w:rsidRPr="00395E08" w:rsidRDefault="00577A2A" w:rsidP="00577A2A">
      <w:pPr>
        <w:tabs>
          <w:tab w:val="center" w:pos="3960"/>
        </w:tabs>
        <w:jc w:val="center"/>
        <w:rPr>
          <w:rFonts w:ascii="Arial" w:eastAsia="Yu Gothic UI" w:hAnsi="Arial" w:cs="Arial"/>
          <w:b/>
          <w:bCs/>
        </w:rPr>
      </w:pPr>
      <w:r w:rsidRPr="00395E08">
        <w:rPr>
          <w:rFonts w:ascii="Arial" w:eastAsia="Yu Gothic UI" w:hAnsi="Arial" w:cs="Arial"/>
          <w:b/>
          <w:bCs/>
        </w:rPr>
        <w:t>(Effective September 1, 1967)</w:t>
      </w:r>
    </w:p>
    <w:p w14:paraId="4F8A82BE" w14:textId="48B7D857" w:rsidR="00AB4FEC" w:rsidRPr="00395E08" w:rsidRDefault="00AB4FEC" w:rsidP="004C500A">
      <w:pPr>
        <w:tabs>
          <w:tab w:val="center" w:pos="3960"/>
        </w:tabs>
        <w:jc w:val="center"/>
        <w:rPr>
          <w:rFonts w:ascii="Arial" w:eastAsia="Yu Gothic UI" w:hAnsi="Arial" w:cs="Arial"/>
          <w:sz w:val="20"/>
          <w:szCs w:val="20"/>
        </w:rPr>
      </w:pPr>
      <w:r w:rsidRPr="00395E08">
        <w:rPr>
          <w:rFonts w:ascii="Arial" w:eastAsia="Yu Gothic UI" w:hAnsi="Arial" w:cs="Arial"/>
          <w:sz w:val="20"/>
          <w:szCs w:val="20"/>
        </w:rPr>
        <w:t xml:space="preserve">(Revised </w:t>
      </w:r>
      <w:r w:rsidR="008D1C44" w:rsidRPr="00395E08">
        <w:rPr>
          <w:rFonts w:ascii="Arial" w:eastAsia="Yu Gothic UI" w:hAnsi="Arial" w:cs="Arial"/>
          <w:sz w:val="20"/>
          <w:szCs w:val="20"/>
        </w:rPr>
        <w:t>June</w:t>
      </w:r>
      <w:r w:rsidR="004C500A" w:rsidRPr="00395E08">
        <w:rPr>
          <w:rFonts w:ascii="Arial" w:eastAsia="Yu Gothic UI" w:hAnsi="Arial" w:cs="Arial"/>
          <w:sz w:val="20"/>
          <w:szCs w:val="20"/>
        </w:rPr>
        <w:t xml:space="preserve"> 2020)</w:t>
      </w:r>
      <w:r w:rsidR="00554D9B" w:rsidRPr="00395E08">
        <w:rPr>
          <w:rStyle w:val="EndnoteReference"/>
          <w:rFonts w:ascii="Arial" w:eastAsia="Yu Gothic UI" w:hAnsi="Arial" w:cs="Arial"/>
          <w:sz w:val="20"/>
          <w:szCs w:val="20"/>
        </w:rPr>
        <w:endnoteReference w:id="1"/>
      </w:r>
    </w:p>
    <w:p w14:paraId="6DD3FF93" w14:textId="77777777" w:rsidR="00334397" w:rsidRPr="004C500A" w:rsidRDefault="00334397" w:rsidP="004C500A">
      <w:pPr>
        <w:tabs>
          <w:tab w:val="center" w:pos="3960"/>
        </w:tabs>
        <w:jc w:val="center"/>
        <w:rPr>
          <w:rFonts w:ascii="Arial" w:eastAsia="Yu Gothic UI" w:hAnsi="Arial" w:cs="Arial"/>
        </w:rPr>
      </w:pPr>
    </w:p>
    <w:p w14:paraId="675BB6C3" w14:textId="77777777" w:rsidR="00383CEF" w:rsidRPr="00BC1C62" w:rsidRDefault="00383CEF">
      <w:pPr>
        <w:tabs>
          <w:tab w:val="center" w:pos="3960"/>
        </w:tabs>
        <w:jc w:val="both"/>
        <w:rPr>
          <w:rFonts w:ascii="Arial" w:eastAsia="Yu Gothic UI" w:hAnsi="Arial" w:cs="Arial"/>
          <w:sz w:val="28"/>
          <w:szCs w:val="28"/>
        </w:rPr>
      </w:pPr>
      <w:r w:rsidRPr="00BC1C62">
        <w:rPr>
          <w:rFonts w:ascii="Arial" w:eastAsia="Yu Gothic UI" w:hAnsi="Arial" w:cs="Arial"/>
          <w:sz w:val="28"/>
          <w:szCs w:val="28"/>
        </w:rPr>
        <w:tab/>
      </w:r>
    </w:p>
    <w:p w14:paraId="447F552B" w14:textId="1CABBFD2" w:rsidR="00383CEF" w:rsidRPr="00BC1C62" w:rsidRDefault="001D20C5">
      <w:pPr>
        <w:jc w:val="both"/>
        <w:rPr>
          <w:rFonts w:ascii="Arial" w:eastAsia="Yu Gothic UI" w:hAnsi="Arial" w:cs="Arial"/>
          <w:sz w:val="28"/>
          <w:szCs w:val="28"/>
        </w:rPr>
      </w:pPr>
      <w:r>
        <w:rPr>
          <w:rFonts w:ascii="Arial" w:hAnsi="Arial" w:cs="Arial"/>
          <w:noProof/>
          <w:sz w:val="28"/>
          <w:szCs w:val="28"/>
        </w:rPr>
        <mc:AlternateContent>
          <mc:Choice Requires="wps">
            <w:drawing>
              <wp:anchor distT="0" distB="0" distL="114300" distR="114300" simplePos="0" relativeHeight="251657216" behindDoc="1" locked="1" layoutInCell="0" allowOverlap="1" wp14:anchorId="0238BB3C" wp14:editId="2881F549">
                <wp:simplePos x="0" y="0"/>
                <wp:positionH relativeFrom="page">
                  <wp:posOffset>2514600</wp:posOffset>
                </wp:positionH>
                <wp:positionV relativeFrom="paragraph">
                  <wp:posOffset>0</wp:posOffset>
                </wp:positionV>
                <wp:extent cx="27432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959EC" id="Rectangle 2" o:spid="_x0000_s1026" style="position:absolute;margin-left:198pt;margin-top:0;width:3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" o:allowincell="f" fillcolor="black" stroked="f" strokeweight="0">
                <w10:wrap anchorx="page"/>
                <w10:anchorlock/>
              </v:rect>
            </w:pict>
          </mc:Fallback>
        </mc:AlternateContent>
      </w:r>
    </w:p>
    <w:p w14:paraId="63F335E6" w14:textId="568A8EAB" w:rsidR="00383CEF" w:rsidRPr="00BC1C62" w:rsidRDefault="00383CEF">
      <w:pPr>
        <w:ind w:left="720" w:right="720"/>
        <w:jc w:val="both"/>
        <w:rPr>
          <w:rFonts w:ascii="Arial" w:eastAsia="Yu Gothic UI" w:hAnsi="Arial" w:cs="Arial"/>
          <w:sz w:val="28"/>
          <w:szCs w:val="28"/>
        </w:rPr>
      </w:pPr>
      <w:r w:rsidRPr="00BC1C62">
        <w:rPr>
          <w:rFonts w:ascii="Arial" w:eastAsia="Yu Gothic UI" w:hAnsi="Arial" w:cs="Arial"/>
          <w:i/>
          <w:iCs/>
          <w:sz w:val="28"/>
          <w:szCs w:val="28"/>
        </w:rPr>
        <w:t xml:space="preserve">If </w:t>
      </w:r>
      <w:r w:rsidR="00324FFF">
        <w:rPr>
          <w:rFonts w:ascii="Arial" w:eastAsia="Yu Gothic UI" w:hAnsi="Arial" w:cs="Arial"/>
          <w:i/>
          <w:iCs/>
          <w:sz w:val="28"/>
          <w:szCs w:val="28"/>
        </w:rPr>
        <w:t xml:space="preserve">the affirmative defense of duress is </w:t>
      </w:r>
      <w:r w:rsidRPr="00BC1C62">
        <w:rPr>
          <w:rFonts w:ascii="Arial" w:eastAsia="Yu Gothic UI" w:hAnsi="Arial" w:cs="Arial"/>
          <w:i/>
          <w:iCs/>
          <w:sz w:val="28"/>
          <w:szCs w:val="28"/>
        </w:rPr>
        <w:t>applicable, omit the final two paragraphs of the instructions on the crime charged, and substitute the following:</w:t>
      </w:r>
    </w:p>
    <w:p w14:paraId="1847B1C0" w14:textId="77777777" w:rsidR="00383CEF" w:rsidRPr="00BC1C62" w:rsidRDefault="00383CEF">
      <w:pPr>
        <w:tabs>
          <w:tab w:val="center" w:pos="3960"/>
        </w:tabs>
        <w:jc w:val="both"/>
        <w:rPr>
          <w:rFonts w:ascii="Arial" w:eastAsia="Yu Gothic UI" w:hAnsi="Arial" w:cs="Arial"/>
          <w:sz w:val="28"/>
          <w:szCs w:val="28"/>
        </w:rPr>
      </w:pPr>
      <w:r w:rsidRPr="00BC1C62">
        <w:rPr>
          <w:rFonts w:ascii="Arial" w:eastAsia="Yu Gothic UI" w:hAnsi="Arial" w:cs="Arial"/>
          <w:sz w:val="28"/>
          <w:szCs w:val="28"/>
        </w:rPr>
        <w:tab/>
      </w:r>
    </w:p>
    <w:p w14:paraId="117AC375" w14:textId="71165806" w:rsidR="00383CEF" w:rsidRPr="00BC1C62" w:rsidRDefault="001D20C5">
      <w:pPr>
        <w:jc w:val="both"/>
        <w:rPr>
          <w:rFonts w:ascii="Arial" w:eastAsia="Yu Gothic UI" w:hAnsi="Arial" w:cs="Arial"/>
          <w:sz w:val="28"/>
          <w:szCs w:val="28"/>
        </w:rPr>
      </w:pPr>
      <w:r>
        <w:rPr>
          <w:rFonts w:ascii="Arial" w:hAnsi="Arial" w:cs="Arial"/>
          <w:noProof/>
          <w:sz w:val="28"/>
          <w:szCs w:val="28"/>
        </w:rPr>
        <mc:AlternateContent>
          <mc:Choice Requires="wps">
            <w:drawing>
              <wp:anchor distT="0" distB="0" distL="114300" distR="114300" simplePos="0" relativeHeight="251658240" behindDoc="1" locked="1" layoutInCell="0" allowOverlap="1" wp14:anchorId="557398DB" wp14:editId="5F66429D">
                <wp:simplePos x="0" y="0"/>
                <wp:positionH relativeFrom="page">
                  <wp:posOffset>2514600</wp:posOffset>
                </wp:positionH>
                <wp:positionV relativeFrom="paragraph">
                  <wp:posOffset>0</wp:posOffset>
                </wp:positionV>
                <wp:extent cx="27432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BB8B1" id="Rectangle 3" o:spid="_x0000_s1026" style="position:absolute;margin-left:198pt;margin-top:0;width:3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" o:allowincell="f" fillcolor="black" stroked="f" strokeweight="0">
                <w10:wrap anchorx="page"/>
                <w10:anchorlock/>
              </v:rect>
            </w:pict>
          </mc:Fallback>
        </mc:AlternateContent>
      </w:r>
    </w:p>
    <w:p w14:paraId="1747786B" w14:textId="63DFE50A" w:rsidR="00874D33" w:rsidRDefault="004B4551" w:rsidP="00C36F42">
      <w:pPr>
        <w:ind w:firstLine="720"/>
        <w:jc w:val="both"/>
        <w:rPr>
          <w:rFonts w:ascii="Arial" w:eastAsia="Yu Gothic UI" w:hAnsi="Arial" w:cs="Arial"/>
          <w:sz w:val="28"/>
          <w:szCs w:val="28"/>
        </w:rPr>
      </w:pPr>
      <w:r>
        <w:rPr>
          <w:rFonts w:ascii="Arial" w:eastAsia="Yu Gothic UI" w:hAnsi="Arial" w:cs="Arial"/>
          <w:sz w:val="28"/>
          <w:szCs w:val="28"/>
        </w:rPr>
        <w:t>If</w:t>
      </w:r>
      <w:r w:rsidR="00383CEF" w:rsidRPr="00BC1C62">
        <w:rPr>
          <w:rFonts w:ascii="Arial" w:eastAsia="Yu Gothic UI" w:hAnsi="Arial" w:cs="Arial"/>
          <w:sz w:val="28"/>
          <w:szCs w:val="28"/>
        </w:rPr>
        <w:t xml:space="preserve"> you find that the People have not proven beyond a reasonable doubt any one of those elements, you must find the defendant not guilty</w:t>
      </w:r>
      <w:r w:rsidR="00874D33">
        <w:rPr>
          <w:rFonts w:ascii="Arial" w:eastAsia="Yu Gothic UI" w:hAnsi="Arial" w:cs="Arial"/>
          <w:sz w:val="28"/>
          <w:szCs w:val="28"/>
        </w:rPr>
        <w:t>.</w:t>
      </w:r>
    </w:p>
    <w:p w14:paraId="4AABB475" w14:textId="77777777" w:rsidR="00383CEF" w:rsidRPr="00BC1C62" w:rsidRDefault="00383CEF">
      <w:pPr>
        <w:jc w:val="both"/>
        <w:rPr>
          <w:rFonts w:ascii="Arial" w:eastAsia="Yu Gothic UI" w:hAnsi="Arial" w:cs="Arial"/>
          <w:sz w:val="28"/>
          <w:szCs w:val="28"/>
        </w:rPr>
      </w:pPr>
    </w:p>
    <w:p w14:paraId="3836D33B" w14:textId="542E1F0A" w:rsidR="00383CEF" w:rsidRPr="00BC1C62" w:rsidRDefault="00784E4E">
      <w:pPr>
        <w:ind w:firstLine="720"/>
        <w:jc w:val="both"/>
        <w:rPr>
          <w:rFonts w:ascii="Arial" w:eastAsia="Yu Gothic UI" w:hAnsi="Arial" w:cs="Arial"/>
          <w:sz w:val="28"/>
          <w:szCs w:val="28"/>
        </w:rPr>
      </w:pPr>
      <w:r>
        <w:rPr>
          <w:rFonts w:ascii="Arial" w:eastAsia="Yu Gothic UI" w:hAnsi="Arial" w:cs="Arial"/>
          <w:sz w:val="28"/>
          <w:szCs w:val="28"/>
        </w:rPr>
        <w:t xml:space="preserve">If </w:t>
      </w:r>
      <w:r w:rsidR="00383CEF" w:rsidRPr="00BC1C62">
        <w:rPr>
          <w:rFonts w:ascii="Arial" w:eastAsia="Yu Gothic UI" w:hAnsi="Arial" w:cs="Arial"/>
          <w:sz w:val="28"/>
          <w:szCs w:val="28"/>
        </w:rPr>
        <w:t>you find that the People have proven beyond a reasonable doubt each of those elements, you must consider an affirmative defense the defendant has raised.  Remember, if you have already found the defendant not guilty, you will not consider this affirmative defense.</w:t>
      </w:r>
    </w:p>
    <w:p w14:paraId="2A525966" w14:textId="77777777" w:rsidR="00383CEF" w:rsidRPr="00BC1C62" w:rsidRDefault="00383CEF">
      <w:pPr>
        <w:jc w:val="both"/>
        <w:rPr>
          <w:rFonts w:ascii="Arial" w:eastAsia="Yu Gothic UI" w:hAnsi="Arial" w:cs="Arial"/>
          <w:sz w:val="28"/>
          <w:szCs w:val="28"/>
        </w:rPr>
      </w:pPr>
    </w:p>
    <w:p w14:paraId="343C652A" w14:textId="7F355791" w:rsidR="00383CEF" w:rsidRPr="00BC1C62" w:rsidRDefault="00383CEF">
      <w:pPr>
        <w:ind w:firstLine="720"/>
        <w:jc w:val="both"/>
        <w:rPr>
          <w:rFonts w:ascii="Arial" w:eastAsia="Yu Gothic UI" w:hAnsi="Arial" w:cs="Arial"/>
          <w:sz w:val="28"/>
          <w:szCs w:val="28"/>
        </w:rPr>
      </w:pPr>
      <w:r w:rsidRPr="00BC1C62">
        <w:rPr>
          <w:rFonts w:ascii="Arial" w:eastAsia="Yu Gothic UI" w:hAnsi="Arial" w:cs="Arial"/>
          <w:sz w:val="28"/>
          <w:szCs w:val="28"/>
        </w:rPr>
        <w:t>Under our law, it is an affirmative defense to this charge that the defendant engaged in the prohibited conduct because he/she was coerced to do so by the use or threatened imminent use of unlawful physical force upon him/her [or a third person], which force or threatened force a person of reasonable firmness in the defendant</w:t>
      </w:r>
      <w:r w:rsidRPr="00BC1C62">
        <w:rPr>
          <w:rFonts w:ascii="Arial" w:eastAsia="Yu Gothic UI" w:hAnsi="Arial" w:cs="Arial"/>
          <w:sz w:val="28"/>
          <w:szCs w:val="28"/>
        </w:rPr>
        <w:sym w:font="WP TypographicSymbols" w:char="003D"/>
      </w:r>
      <w:r w:rsidRPr="00BC1C62">
        <w:rPr>
          <w:rFonts w:ascii="Arial" w:eastAsia="Yu Gothic UI" w:hAnsi="Arial" w:cs="Arial"/>
          <w:sz w:val="28"/>
          <w:szCs w:val="28"/>
        </w:rPr>
        <w:t>s situation would have been unable to resist.</w:t>
      </w:r>
      <w:r w:rsidRPr="00BC1C62">
        <w:rPr>
          <w:rFonts w:ascii="Arial" w:eastAsia="Yu Gothic UI" w:hAnsi="Arial" w:cs="Arial"/>
          <w:i/>
          <w:iCs/>
          <w:sz w:val="28"/>
          <w:szCs w:val="28"/>
        </w:rPr>
        <w:t xml:space="preserve"> </w:t>
      </w:r>
      <w:r w:rsidR="005A3F06">
        <w:rPr>
          <w:rStyle w:val="EndnoteReference"/>
          <w:rFonts w:ascii="Arial" w:eastAsia="Yu Gothic UI" w:hAnsi="Arial" w:cs="Arial"/>
          <w:i/>
          <w:iCs/>
          <w:sz w:val="28"/>
          <w:szCs w:val="28"/>
        </w:rPr>
        <w:endnoteReference w:id="2"/>
      </w:r>
    </w:p>
    <w:p w14:paraId="0C01BE33" w14:textId="77777777" w:rsidR="00383CEF" w:rsidRPr="00BC1C62" w:rsidRDefault="00383CEF">
      <w:pPr>
        <w:jc w:val="both"/>
        <w:rPr>
          <w:rFonts w:ascii="Arial" w:eastAsia="Yu Gothic UI" w:hAnsi="Arial" w:cs="Arial"/>
          <w:sz w:val="28"/>
          <w:szCs w:val="28"/>
        </w:rPr>
      </w:pPr>
    </w:p>
    <w:p w14:paraId="56013A5B" w14:textId="3AC23414" w:rsidR="0042598E" w:rsidRPr="00BC1C62" w:rsidRDefault="00383CEF">
      <w:pPr>
        <w:ind w:firstLine="720"/>
        <w:jc w:val="both"/>
        <w:rPr>
          <w:rFonts w:ascii="Arial" w:eastAsia="Yu Gothic UI" w:hAnsi="Arial" w:cs="Arial"/>
          <w:sz w:val="28"/>
          <w:szCs w:val="28"/>
        </w:rPr>
      </w:pPr>
      <w:r w:rsidRPr="00BC1C62">
        <w:rPr>
          <w:rFonts w:ascii="Arial" w:eastAsia="Yu Gothic UI" w:hAnsi="Arial" w:cs="Arial"/>
          <w:sz w:val="28"/>
          <w:szCs w:val="28"/>
        </w:rPr>
        <w:t>The defense of duress is not available if the defendant intentionally or recklessly placed himself/herself in a situation in which it was probable that he/she would be subjected to duress.</w:t>
      </w:r>
      <w:r w:rsidR="002E0C2B">
        <w:rPr>
          <w:rStyle w:val="EndnoteReference"/>
          <w:rFonts w:ascii="Arial" w:eastAsia="Yu Gothic UI" w:hAnsi="Arial" w:cs="Arial"/>
          <w:sz w:val="28"/>
          <w:szCs w:val="28"/>
        </w:rPr>
        <w:endnoteReference w:id="3"/>
      </w:r>
    </w:p>
    <w:p w14:paraId="6E3F2861" w14:textId="77777777" w:rsidR="00383CEF" w:rsidRPr="00BC1C62" w:rsidRDefault="00383CEF">
      <w:pPr>
        <w:jc w:val="both"/>
        <w:rPr>
          <w:rFonts w:ascii="Arial" w:eastAsia="Yu Gothic UI" w:hAnsi="Arial" w:cs="Arial"/>
          <w:sz w:val="28"/>
          <w:szCs w:val="28"/>
        </w:rPr>
      </w:pPr>
    </w:p>
    <w:p w14:paraId="07FD0169" w14:textId="77777777" w:rsidR="00383CEF" w:rsidRPr="00BC1C62" w:rsidRDefault="00383CEF">
      <w:pPr>
        <w:jc w:val="both"/>
        <w:rPr>
          <w:rFonts w:ascii="Arial" w:eastAsia="Yu Gothic UI" w:hAnsi="Arial" w:cs="Arial"/>
          <w:sz w:val="28"/>
          <w:szCs w:val="28"/>
        </w:rPr>
      </w:pPr>
      <w:r w:rsidRPr="00BC1C62">
        <w:rPr>
          <w:rFonts w:ascii="Arial" w:eastAsia="Yu Gothic UI" w:hAnsi="Arial" w:cs="Arial"/>
          <w:i/>
          <w:iCs/>
          <w:sz w:val="28"/>
          <w:szCs w:val="28"/>
        </w:rPr>
        <w:t>[Note: Add if applicable</w:t>
      </w:r>
    </w:p>
    <w:p w14:paraId="6953A4D0" w14:textId="11974581" w:rsidR="00022B4D" w:rsidRDefault="00383CEF" w:rsidP="00D056CE">
      <w:pPr>
        <w:ind w:firstLine="720"/>
        <w:jc w:val="both"/>
        <w:rPr>
          <w:rFonts w:ascii="Arial" w:hAnsi="Arial" w:cs="Arial"/>
          <w:sz w:val="28"/>
          <w:szCs w:val="28"/>
        </w:rPr>
      </w:pPr>
      <w:r w:rsidRPr="00BC1C62">
        <w:rPr>
          <w:rFonts w:ascii="Arial" w:eastAsia="Yu Gothic UI" w:hAnsi="Arial" w:cs="Arial"/>
          <w:sz w:val="28"/>
          <w:szCs w:val="28"/>
        </w:rPr>
        <w:t>[In deciding whether the defendant was coerced into committing this crime, you may consider whether he/she was a person predisposed to criminal conduct and not a person whose will needed to be overcome.  On this issue, there is evidence</w:t>
      </w:r>
      <w:r w:rsidRPr="00BC1C62">
        <w:rPr>
          <w:rFonts w:ascii="Arial" w:hAnsi="Arial" w:cs="Arial"/>
          <w:sz w:val="28"/>
          <w:szCs w:val="28"/>
        </w:rPr>
        <w:t xml:space="preserve"> in the case that on another occasion, the defendant </w:t>
      </w:r>
    </w:p>
    <w:p w14:paraId="59284220" w14:textId="787DBB8F" w:rsidR="0024578F" w:rsidRDefault="0024578F">
      <w:pPr>
        <w:ind w:firstLine="720"/>
        <w:jc w:val="both"/>
        <w:rPr>
          <w:rFonts w:ascii="Arial" w:hAnsi="Arial" w:cs="Arial"/>
          <w:sz w:val="28"/>
          <w:szCs w:val="28"/>
        </w:rPr>
      </w:pPr>
    </w:p>
    <w:p w14:paraId="59331FDA" w14:textId="59693363" w:rsidR="003613A2" w:rsidRPr="006E75B9" w:rsidRDefault="0024578F" w:rsidP="00543126">
      <w:pPr>
        <w:ind w:left="-720" w:firstLine="720"/>
        <w:jc w:val="both"/>
        <w:rPr>
          <w:rFonts w:ascii="Arial" w:hAnsi="Arial" w:cs="Arial"/>
          <w:b/>
          <w:bCs/>
          <w:i/>
          <w:iCs/>
          <w:sz w:val="28"/>
          <w:szCs w:val="28"/>
        </w:rPr>
      </w:pPr>
      <w:r w:rsidRPr="006E75B9">
        <w:rPr>
          <w:rFonts w:ascii="Arial" w:hAnsi="Arial" w:cs="Arial"/>
          <w:b/>
          <w:bCs/>
          <w:i/>
          <w:iCs/>
          <w:sz w:val="28"/>
          <w:szCs w:val="28"/>
        </w:rPr>
        <w:t>Select appropriate alternative(s):</w:t>
      </w:r>
    </w:p>
    <w:p w14:paraId="33E5312F" w14:textId="77777777" w:rsidR="00022B4D" w:rsidRPr="0057149B" w:rsidRDefault="00022B4D" w:rsidP="00543126">
      <w:pPr>
        <w:ind w:left="-720" w:firstLine="720"/>
        <w:jc w:val="both"/>
        <w:rPr>
          <w:rFonts w:ascii="Arial" w:hAnsi="Arial" w:cs="Arial"/>
          <w:b/>
          <w:bCs/>
          <w:i/>
          <w:iCs/>
          <w:sz w:val="28"/>
          <w:szCs w:val="28"/>
        </w:rPr>
      </w:pPr>
    </w:p>
    <w:p w14:paraId="5A02F8D4" w14:textId="77777777" w:rsidR="0057149B" w:rsidRPr="006E75B9" w:rsidRDefault="00383CEF" w:rsidP="0057149B">
      <w:pPr>
        <w:ind w:firstLine="720"/>
        <w:jc w:val="both"/>
        <w:rPr>
          <w:rFonts w:ascii="Arial" w:hAnsi="Arial" w:cs="Arial"/>
          <w:sz w:val="28"/>
          <w:szCs w:val="28"/>
        </w:rPr>
      </w:pPr>
      <w:r w:rsidRPr="0057149B">
        <w:rPr>
          <w:rFonts w:ascii="Arial" w:hAnsi="Arial" w:cs="Arial"/>
          <w:sz w:val="28"/>
          <w:szCs w:val="28"/>
        </w:rPr>
        <w:t xml:space="preserve">engaged in criminal conduct </w:t>
      </w:r>
      <w:r w:rsidR="00871D77" w:rsidRPr="006E75B9">
        <w:rPr>
          <w:rFonts w:ascii="Arial" w:hAnsi="Arial" w:cs="Arial"/>
          <w:sz w:val="28"/>
          <w:szCs w:val="28"/>
        </w:rPr>
        <w:t>of the same nature</w:t>
      </w:r>
    </w:p>
    <w:p w14:paraId="35C1FF43" w14:textId="67531D9D" w:rsidR="0057149B" w:rsidRPr="006E75B9" w:rsidRDefault="0057149B" w:rsidP="0057149B">
      <w:pPr>
        <w:ind w:firstLine="720"/>
        <w:jc w:val="both"/>
        <w:rPr>
          <w:rFonts w:ascii="Arial" w:hAnsi="Arial" w:cs="Arial"/>
          <w:sz w:val="28"/>
          <w:szCs w:val="28"/>
        </w:rPr>
      </w:pPr>
      <w:r w:rsidRPr="006E75B9">
        <w:rPr>
          <w:rFonts w:ascii="Arial" w:hAnsi="Arial" w:cs="Arial"/>
          <w:sz w:val="28"/>
          <w:szCs w:val="28"/>
        </w:rPr>
        <w:tab/>
      </w:r>
      <w:r w:rsidRPr="006E75B9">
        <w:rPr>
          <w:rFonts w:ascii="Arial" w:hAnsi="Arial" w:cs="Arial"/>
          <w:sz w:val="28"/>
          <w:szCs w:val="28"/>
        </w:rPr>
        <w:tab/>
      </w:r>
    </w:p>
    <w:p w14:paraId="68DDE1BB" w14:textId="2AB5549D" w:rsidR="00B77414" w:rsidRPr="006E75B9" w:rsidRDefault="00383CEF" w:rsidP="0057149B">
      <w:pPr>
        <w:ind w:firstLine="720"/>
        <w:jc w:val="both"/>
        <w:rPr>
          <w:rFonts w:ascii="Arial" w:hAnsi="Arial" w:cs="Arial"/>
          <w:sz w:val="28"/>
          <w:szCs w:val="28"/>
        </w:rPr>
      </w:pPr>
      <w:r w:rsidRPr="006E75B9">
        <w:rPr>
          <w:rFonts w:ascii="Arial" w:hAnsi="Arial" w:cs="Arial"/>
          <w:sz w:val="28"/>
          <w:szCs w:val="28"/>
        </w:rPr>
        <w:t xml:space="preserve">was convicted of a crime </w:t>
      </w:r>
      <w:r w:rsidR="00892179" w:rsidRPr="006E75B9">
        <w:rPr>
          <w:rFonts w:ascii="Arial" w:hAnsi="Arial" w:cs="Arial"/>
          <w:sz w:val="28"/>
          <w:szCs w:val="28"/>
        </w:rPr>
        <w:t>of the same nature</w:t>
      </w:r>
      <w:r w:rsidR="00B6703E" w:rsidRPr="006E75B9">
        <w:rPr>
          <w:rFonts w:ascii="Arial" w:hAnsi="Arial" w:cs="Arial"/>
          <w:sz w:val="28"/>
          <w:szCs w:val="28"/>
        </w:rPr>
        <w:t>.</w:t>
      </w:r>
      <w:r w:rsidR="00F20EE0" w:rsidRPr="006E75B9">
        <w:rPr>
          <w:rStyle w:val="EndnoteReference"/>
          <w:rFonts w:ascii="Arial" w:hAnsi="Arial" w:cs="Arial"/>
          <w:sz w:val="28"/>
          <w:szCs w:val="28"/>
        </w:rPr>
        <w:endnoteReference w:id="4"/>
      </w:r>
      <w:r w:rsidR="00F20EE0" w:rsidRPr="006E75B9">
        <w:rPr>
          <w:rFonts w:ascii="Arial" w:hAnsi="Arial" w:cs="Arial"/>
          <w:sz w:val="28"/>
          <w:szCs w:val="28"/>
        </w:rPr>
        <w:t xml:space="preserve">  </w:t>
      </w:r>
    </w:p>
    <w:p w14:paraId="2E791A04" w14:textId="77777777" w:rsidR="00F20EE0" w:rsidRPr="00D70100" w:rsidRDefault="00F20EE0" w:rsidP="00D70100">
      <w:pPr>
        <w:ind w:left="-720" w:firstLine="720"/>
        <w:jc w:val="both"/>
        <w:rPr>
          <w:rFonts w:ascii="Arial" w:hAnsi="Arial" w:cs="Arial"/>
          <w:sz w:val="28"/>
          <w:szCs w:val="28"/>
        </w:rPr>
      </w:pPr>
    </w:p>
    <w:p w14:paraId="7ADD06DD" w14:textId="105A75C7" w:rsidR="00383CEF" w:rsidRPr="00B77414" w:rsidRDefault="00383CEF" w:rsidP="00B455D0">
      <w:pPr>
        <w:jc w:val="both"/>
        <w:rPr>
          <w:rFonts w:ascii="Arial" w:hAnsi="Arial" w:cs="Arial"/>
          <w:sz w:val="28"/>
          <w:szCs w:val="28"/>
        </w:rPr>
      </w:pPr>
      <w:r w:rsidRPr="00BC1C62">
        <w:rPr>
          <w:rFonts w:ascii="Arial" w:hAnsi="Arial" w:cs="Arial"/>
          <w:sz w:val="28"/>
          <w:szCs w:val="28"/>
        </w:rPr>
        <w:t>That evidence was offered solely in an attempt</w:t>
      </w:r>
      <w:r w:rsidR="00B455D0">
        <w:rPr>
          <w:rFonts w:ascii="Arial" w:hAnsi="Arial" w:cs="Arial"/>
          <w:sz w:val="28"/>
          <w:szCs w:val="28"/>
        </w:rPr>
        <w:t xml:space="preserve"> </w:t>
      </w:r>
      <w:r w:rsidRPr="00BC1C62">
        <w:rPr>
          <w:rFonts w:ascii="Arial" w:hAnsi="Arial" w:cs="Arial"/>
          <w:sz w:val="28"/>
          <w:szCs w:val="28"/>
        </w:rPr>
        <w:t>to establish that the defendant was predisposed to engage in criminal conduct and thus was not coerced into committing this crime.  If you find the evidence believable, you may consider it for that limited purpose and for none other.</w:t>
      </w:r>
      <w:r w:rsidRPr="00BC1C62">
        <w:rPr>
          <w:rFonts w:ascii="Arial" w:eastAsia="Yu Gothic UI" w:hAnsi="Arial" w:cs="Arial"/>
          <w:sz w:val="28"/>
          <w:szCs w:val="28"/>
        </w:rPr>
        <w:t>]</w:t>
      </w:r>
    </w:p>
    <w:p w14:paraId="0C5D394F" w14:textId="77777777" w:rsidR="00383CEF" w:rsidRPr="00BC1C62" w:rsidRDefault="00383CEF">
      <w:pPr>
        <w:jc w:val="both"/>
        <w:rPr>
          <w:rFonts w:ascii="Arial" w:eastAsia="Yu Gothic UI" w:hAnsi="Arial" w:cs="Arial"/>
          <w:sz w:val="28"/>
          <w:szCs w:val="28"/>
        </w:rPr>
      </w:pPr>
    </w:p>
    <w:p w14:paraId="6F6C4A43" w14:textId="77777777" w:rsidR="00383CEF" w:rsidRPr="00BC1C62" w:rsidRDefault="00383CEF">
      <w:pPr>
        <w:ind w:firstLine="720"/>
        <w:jc w:val="both"/>
        <w:rPr>
          <w:rFonts w:ascii="Arial" w:eastAsia="Yu Gothic UI" w:hAnsi="Arial" w:cs="Arial"/>
          <w:sz w:val="28"/>
          <w:szCs w:val="28"/>
        </w:rPr>
      </w:pPr>
      <w:r w:rsidRPr="00BC1C62">
        <w:rPr>
          <w:rFonts w:ascii="Arial" w:eastAsia="Yu Gothic UI" w:hAnsi="Arial" w:cs="Arial"/>
          <w:sz w:val="28"/>
          <w:szCs w:val="28"/>
        </w:rPr>
        <w:t>Under our law, the defendant has the burden of proving an affirmative defense by a preponderance of the evidence.</w:t>
      </w:r>
    </w:p>
    <w:p w14:paraId="2869DFE2" w14:textId="77777777" w:rsidR="00383CEF" w:rsidRPr="00BC1C62" w:rsidRDefault="00383CEF">
      <w:pPr>
        <w:jc w:val="both"/>
        <w:rPr>
          <w:rFonts w:ascii="Arial" w:eastAsia="Yu Gothic UI" w:hAnsi="Arial" w:cs="Arial"/>
          <w:sz w:val="28"/>
          <w:szCs w:val="28"/>
        </w:rPr>
      </w:pPr>
    </w:p>
    <w:p w14:paraId="00BE982E" w14:textId="77777777" w:rsidR="00383CEF" w:rsidRPr="00BC1C62" w:rsidRDefault="00383CEF">
      <w:pPr>
        <w:ind w:firstLine="720"/>
        <w:jc w:val="both"/>
        <w:rPr>
          <w:rFonts w:ascii="Arial" w:eastAsia="Yu Gothic UI" w:hAnsi="Arial" w:cs="Arial"/>
          <w:sz w:val="28"/>
          <w:szCs w:val="28"/>
        </w:rPr>
      </w:pPr>
      <w:r w:rsidRPr="00BC1C62">
        <w:rPr>
          <w:rFonts w:ascii="Arial" w:eastAsia="Yu Gothic UI" w:hAnsi="Arial" w:cs="Arial"/>
          <w:sz w:val="28"/>
          <w:szCs w:val="28"/>
        </w:rPr>
        <w:t>In determining whether the defendant has proven the affirmative defense by a preponderance of the evidence, you may consider evidence introduced by the People or by the defendant.</w:t>
      </w:r>
    </w:p>
    <w:p w14:paraId="2AE0BD3B" w14:textId="77777777" w:rsidR="00383CEF" w:rsidRPr="00BC1C62" w:rsidRDefault="00383CEF">
      <w:pPr>
        <w:jc w:val="both"/>
        <w:rPr>
          <w:rFonts w:ascii="Arial" w:eastAsia="Yu Gothic UI" w:hAnsi="Arial" w:cs="Arial"/>
          <w:sz w:val="28"/>
          <w:szCs w:val="28"/>
        </w:rPr>
      </w:pPr>
    </w:p>
    <w:p w14:paraId="0AC853D5" w14:textId="77777777" w:rsidR="00383CEF" w:rsidRPr="00BC1C62" w:rsidRDefault="00383CEF">
      <w:pPr>
        <w:ind w:firstLine="720"/>
        <w:jc w:val="both"/>
        <w:rPr>
          <w:rFonts w:ascii="Arial" w:eastAsia="Yu Gothic UI" w:hAnsi="Arial" w:cs="Arial"/>
          <w:sz w:val="28"/>
          <w:szCs w:val="28"/>
        </w:rPr>
      </w:pPr>
      <w:r w:rsidRPr="00BC1C62">
        <w:rPr>
          <w:rFonts w:ascii="Arial" w:eastAsia="Yu Gothic UI" w:hAnsi="Arial" w:cs="Arial"/>
          <w:sz w:val="28"/>
          <w:szCs w:val="28"/>
        </w:rPr>
        <w:t xml:space="preserve">A preponderance of the evidence means the greater part of the believable and reliable evidence, not in terms of the number of witnesses or the length of time taken to present the evidence, but in terms of its quality and the weight and convincing effect it has.  For the affirmative defense to be proved by a preponderance of the evidence, the evidence that supports the affirmative defense must be of such convincing quality as to outweigh any evidence to the contrary. </w:t>
      </w:r>
    </w:p>
    <w:p w14:paraId="4244D7BA" w14:textId="77777777" w:rsidR="00383CEF" w:rsidRPr="00BC1C62" w:rsidRDefault="00383CEF">
      <w:pPr>
        <w:jc w:val="both"/>
        <w:rPr>
          <w:rFonts w:ascii="Arial" w:eastAsia="Yu Gothic UI" w:hAnsi="Arial" w:cs="Arial"/>
          <w:sz w:val="28"/>
          <w:szCs w:val="28"/>
        </w:rPr>
      </w:pPr>
    </w:p>
    <w:p w14:paraId="45E53BC9" w14:textId="0865F830" w:rsidR="00383CEF" w:rsidRDefault="00A02FEB" w:rsidP="00A02FEB">
      <w:pPr>
        <w:ind w:firstLine="720"/>
        <w:jc w:val="both"/>
        <w:rPr>
          <w:rFonts w:ascii="Arial" w:eastAsia="Yu Gothic UI" w:hAnsi="Arial" w:cs="Arial"/>
          <w:sz w:val="28"/>
          <w:szCs w:val="28"/>
        </w:rPr>
      </w:pPr>
      <w:r>
        <w:rPr>
          <w:rFonts w:ascii="Arial" w:eastAsia="Yu Gothic UI" w:hAnsi="Arial" w:cs="Arial"/>
          <w:sz w:val="28"/>
          <w:szCs w:val="28"/>
        </w:rPr>
        <w:t xml:space="preserve">If </w:t>
      </w:r>
      <w:r w:rsidR="00383CEF" w:rsidRPr="00BC1C62">
        <w:rPr>
          <w:rFonts w:ascii="Arial" w:eastAsia="Yu Gothic UI" w:hAnsi="Arial" w:cs="Arial"/>
          <w:sz w:val="28"/>
          <w:szCs w:val="28"/>
        </w:rPr>
        <w:t>you find that the defendant has not proven the affirmative defense by a preponderance of the evidence, then, based upon your initial determination that the People had proven beyond a reasonable doubt the elements of (</w:t>
      </w:r>
      <w:r w:rsidR="00383CEF" w:rsidRPr="00BC1C62">
        <w:rPr>
          <w:rFonts w:ascii="Arial" w:eastAsia="Yu Gothic UI" w:hAnsi="Arial" w:cs="Arial"/>
          <w:i/>
          <w:iCs/>
          <w:sz w:val="28"/>
          <w:szCs w:val="28"/>
          <w:u w:val="single"/>
        </w:rPr>
        <w:t>specify</w:t>
      </w:r>
      <w:r w:rsidR="00383CEF" w:rsidRPr="00BC1C62">
        <w:rPr>
          <w:rFonts w:ascii="Arial" w:eastAsia="Yu Gothic UI" w:hAnsi="Arial" w:cs="Arial"/>
          <w:sz w:val="28"/>
          <w:szCs w:val="28"/>
        </w:rPr>
        <w:t>),  you must find the defendant guilty of that crime</w:t>
      </w:r>
      <w:r>
        <w:rPr>
          <w:rFonts w:ascii="Arial" w:eastAsia="Yu Gothic UI" w:hAnsi="Arial" w:cs="Arial"/>
          <w:sz w:val="28"/>
          <w:szCs w:val="28"/>
        </w:rPr>
        <w:t>.</w:t>
      </w:r>
    </w:p>
    <w:p w14:paraId="4AEEF27F" w14:textId="77777777" w:rsidR="00A02FEB" w:rsidRPr="00BC1C62" w:rsidRDefault="00A02FEB" w:rsidP="00A02FEB">
      <w:pPr>
        <w:ind w:firstLine="720"/>
        <w:jc w:val="both"/>
        <w:rPr>
          <w:rFonts w:ascii="Arial" w:eastAsia="Yu Gothic UI" w:hAnsi="Arial" w:cs="Arial"/>
          <w:sz w:val="28"/>
          <w:szCs w:val="28"/>
        </w:rPr>
      </w:pPr>
    </w:p>
    <w:p w14:paraId="0D90BC5B" w14:textId="65EE513A" w:rsidR="00BD40D1" w:rsidRDefault="00A02FEB" w:rsidP="00951892">
      <w:pPr>
        <w:ind w:firstLine="720"/>
        <w:jc w:val="both"/>
        <w:rPr>
          <w:rFonts w:ascii="Arial" w:eastAsia="Yu Gothic UI" w:hAnsi="Arial" w:cs="Arial"/>
          <w:sz w:val="28"/>
          <w:szCs w:val="28"/>
        </w:rPr>
      </w:pPr>
      <w:r>
        <w:rPr>
          <w:rFonts w:ascii="Arial" w:eastAsia="Yu Gothic UI" w:hAnsi="Arial" w:cs="Arial"/>
          <w:sz w:val="28"/>
          <w:szCs w:val="28"/>
        </w:rPr>
        <w:t>If</w:t>
      </w:r>
      <w:r w:rsidR="00383CEF" w:rsidRPr="00BC1C62">
        <w:rPr>
          <w:rFonts w:ascii="Arial" w:eastAsia="Yu Gothic UI" w:hAnsi="Arial" w:cs="Arial"/>
          <w:sz w:val="28"/>
          <w:szCs w:val="28"/>
        </w:rPr>
        <w:t xml:space="preserve"> you find that the defendant has proven the affirmative defense by a preponderance of the evidence, then you must find </w:t>
      </w:r>
      <w:r w:rsidR="00383CEF" w:rsidRPr="00BC1C62">
        <w:rPr>
          <w:rFonts w:ascii="Arial" w:eastAsia="Yu Gothic UI" w:hAnsi="Arial" w:cs="Arial"/>
          <w:sz w:val="28"/>
          <w:szCs w:val="28"/>
        </w:rPr>
        <w:lastRenderedPageBreak/>
        <w:t>the defendant not guilty of (</w:t>
      </w:r>
      <w:r w:rsidR="00383CEF" w:rsidRPr="00BC1C62">
        <w:rPr>
          <w:rFonts w:ascii="Arial" w:eastAsia="Yu Gothic UI" w:hAnsi="Arial" w:cs="Arial"/>
          <w:i/>
          <w:iCs/>
          <w:sz w:val="28"/>
          <w:szCs w:val="28"/>
          <w:u w:val="single"/>
        </w:rPr>
        <w:t>specify</w:t>
      </w:r>
      <w:r w:rsidR="00383CEF" w:rsidRPr="00BC1C62">
        <w:rPr>
          <w:rFonts w:ascii="Arial" w:eastAsia="Yu Gothic UI" w:hAnsi="Arial" w:cs="Arial"/>
          <w:sz w:val="28"/>
          <w:szCs w:val="28"/>
        </w:rPr>
        <w:t>).]</w:t>
      </w:r>
    </w:p>
    <w:p w14:paraId="0319720B" w14:textId="77777777" w:rsidR="00383CEF" w:rsidRPr="00BC1C62" w:rsidRDefault="00383CEF">
      <w:pPr>
        <w:jc w:val="both"/>
        <w:rPr>
          <w:rFonts w:ascii="Arial" w:eastAsia="Yu Gothic UI" w:hAnsi="Arial" w:cs="Arial"/>
          <w:sz w:val="28"/>
          <w:szCs w:val="28"/>
        </w:rPr>
      </w:pPr>
    </w:p>
    <w:sectPr w:rsidR="00383CEF" w:rsidRPr="00BC1C62" w:rsidSect="00BB75B9">
      <w:footerReference w:type="default" r:id="rId10"/>
      <w:endnotePr>
        <w:numFmt w:val="decimal"/>
      </w:endnotePr>
      <w:pgSz w:w="12240" w:h="15840"/>
      <w:pgMar w:top="1080" w:right="2160" w:bottom="1080" w:left="216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C4DAC" w14:textId="77777777" w:rsidR="00C91755" w:rsidRDefault="00C91755" w:rsidP="00383CEF">
      <w:r>
        <w:separator/>
      </w:r>
    </w:p>
  </w:endnote>
  <w:endnote w:type="continuationSeparator" w:id="0">
    <w:p w14:paraId="4C70163C" w14:textId="77777777" w:rsidR="00C91755" w:rsidRDefault="00C91755" w:rsidP="00383CEF">
      <w:r>
        <w:continuationSeparator/>
      </w:r>
    </w:p>
  </w:endnote>
  <w:endnote w:id="1">
    <w:p w14:paraId="441DC234" w14:textId="0D2DB5BB" w:rsidR="00554D9B" w:rsidRPr="0057149B" w:rsidRDefault="00554D9B" w:rsidP="00335822">
      <w:pPr>
        <w:pStyle w:val="EndnoteText"/>
        <w:jc w:val="both"/>
        <w:rPr>
          <w:rFonts w:ascii="Arial" w:hAnsi="Arial" w:cs="Arial"/>
          <w:sz w:val="24"/>
          <w:szCs w:val="24"/>
        </w:rPr>
      </w:pPr>
      <w:r w:rsidRPr="0057149B">
        <w:rPr>
          <w:rStyle w:val="EndnoteReference"/>
          <w:rFonts w:ascii="Arial" w:hAnsi="Arial" w:cs="Arial"/>
          <w:sz w:val="24"/>
          <w:szCs w:val="24"/>
        </w:rPr>
        <w:endnoteRef/>
      </w:r>
      <w:r w:rsidRPr="0057149B">
        <w:rPr>
          <w:rFonts w:ascii="Arial" w:hAnsi="Arial" w:cs="Arial"/>
          <w:sz w:val="24"/>
          <w:szCs w:val="24"/>
        </w:rPr>
        <w:t xml:space="preserve"> </w:t>
      </w:r>
      <w:r w:rsidR="00A02C40" w:rsidRPr="00951892">
        <w:rPr>
          <w:rFonts w:ascii="Arial" w:hAnsi="Arial" w:cs="Arial"/>
          <w:sz w:val="24"/>
          <w:szCs w:val="24"/>
        </w:rPr>
        <w:t xml:space="preserve">The </w:t>
      </w:r>
      <w:r w:rsidR="00B0196F">
        <w:rPr>
          <w:rFonts w:ascii="Arial" w:hAnsi="Arial" w:cs="Arial"/>
          <w:sz w:val="24"/>
          <w:szCs w:val="24"/>
        </w:rPr>
        <w:t xml:space="preserve">June </w:t>
      </w:r>
      <w:r w:rsidR="00A02C40" w:rsidRPr="00951892">
        <w:rPr>
          <w:rFonts w:ascii="Arial" w:hAnsi="Arial" w:cs="Arial"/>
          <w:sz w:val="24"/>
          <w:szCs w:val="24"/>
        </w:rPr>
        <w:t>2020 revision was for the purpose of clarifyin</w:t>
      </w:r>
      <w:r w:rsidR="005407AF" w:rsidRPr="00951892">
        <w:rPr>
          <w:rFonts w:ascii="Arial" w:hAnsi="Arial" w:cs="Arial"/>
          <w:sz w:val="24"/>
          <w:szCs w:val="24"/>
        </w:rPr>
        <w:t>g the requirement</w:t>
      </w:r>
      <w:r w:rsidR="00A02C40" w:rsidRPr="00951892">
        <w:rPr>
          <w:rFonts w:ascii="Arial" w:hAnsi="Arial" w:cs="Arial"/>
          <w:sz w:val="24"/>
          <w:szCs w:val="24"/>
        </w:rPr>
        <w:t xml:space="preserve"> that </w:t>
      </w:r>
      <w:r w:rsidR="00687B15" w:rsidRPr="00951892">
        <w:rPr>
          <w:rFonts w:ascii="Arial" w:hAnsi="Arial" w:cs="Arial"/>
          <w:sz w:val="24"/>
          <w:szCs w:val="24"/>
        </w:rPr>
        <w:t>a defendant’s criminal conduct or</w:t>
      </w:r>
      <w:r w:rsidR="00801486" w:rsidRPr="00951892">
        <w:rPr>
          <w:rFonts w:ascii="Arial" w:hAnsi="Arial" w:cs="Arial"/>
          <w:sz w:val="24"/>
          <w:szCs w:val="24"/>
        </w:rPr>
        <w:t xml:space="preserve"> criminal conviction should be of </w:t>
      </w:r>
      <w:r w:rsidR="00475088" w:rsidRPr="00951892">
        <w:rPr>
          <w:rFonts w:ascii="Arial" w:hAnsi="Arial" w:cs="Arial"/>
          <w:sz w:val="24"/>
          <w:szCs w:val="24"/>
        </w:rPr>
        <w:t xml:space="preserve">the same </w:t>
      </w:r>
      <w:r w:rsidR="00801486" w:rsidRPr="00951892">
        <w:rPr>
          <w:rFonts w:ascii="Arial" w:hAnsi="Arial" w:cs="Arial"/>
          <w:sz w:val="24"/>
          <w:szCs w:val="24"/>
        </w:rPr>
        <w:t xml:space="preserve">nature of </w:t>
      </w:r>
      <w:r w:rsidR="00245A95" w:rsidRPr="00951892">
        <w:rPr>
          <w:rFonts w:ascii="Arial" w:hAnsi="Arial" w:cs="Arial"/>
          <w:sz w:val="24"/>
          <w:szCs w:val="24"/>
        </w:rPr>
        <w:t xml:space="preserve">the crime(s) he/she is being tried for. See footnote four. </w:t>
      </w:r>
    </w:p>
    <w:p w14:paraId="04781045" w14:textId="77777777" w:rsidR="005A3F06" w:rsidRPr="00245A95" w:rsidRDefault="005A3F06" w:rsidP="00335822">
      <w:pPr>
        <w:pStyle w:val="EndnoteText"/>
        <w:jc w:val="both"/>
        <w:rPr>
          <w:rFonts w:ascii="Arial" w:hAnsi="Arial" w:cs="Arial"/>
          <w:b/>
          <w:bCs/>
          <w:sz w:val="24"/>
          <w:szCs w:val="24"/>
        </w:rPr>
      </w:pPr>
    </w:p>
  </w:endnote>
  <w:endnote w:id="2">
    <w:p w14:paraId="77B3B69F" w14:textId="15B5C031" w:rsidR="00C36F42" w:rsidRDefault="005A3F06" w:rsidP="00C36F42">
      <w:pPr>
        <w:pStyle w:val="EndnoteText"/>
        <w:jc w:val="both"/>
        <w:rPr>
          <w:rFonts w:ascii="Arial" w:eastAsia="Yu Gothic UI" w:hAnsi="Arial" w:cs="Arial"/>
          <w:strike/>
          <w:color w:val="C00000"/>
        </w:rPr>
      </w:pPr>
      <w:r>
        <w:rPr>
          <w:rStyle w:val="EndnoteReference"/>
        </w:rPr>
        <w:endnoteRef/>
      </w:r>
      <w:r>
        <w:t xml:space="preserve"> </w:t>
      </w:r>
      <w:r w:rsidRPr="005A3F06">
        <w:rPr>
          <w:rFonts w:ascii="Arial" w:eastAsia="Yu Gothic UI" w:hAnsi="Arial" w:cs="Arial"/>
          <w:sz w:val="24"/>
          <w:szCs w:val="24"/>
        </w:rPr>
        <w:t xml:space="preserve">Penal Law </w:t>
      </w:r>
      <w:r w:rsidRPr="005A3F06">
        <w:rPr>
          <w:rFonts w:ascii="Arial" w:eastAsia="Yu Gothic UI" w:hAnsi="Arial" w:cs="Arial"/>
          <w:sz w:val="24"/>
          <w:szCs w:val="24"/>
        </w:rPr>
        <w:sym w:font="WP TypographicSymbols" w:char="0027"/>
      </w:r>
      <w:r w:rsidRPr="005A3F06">
        <w:rPr>
          <w:rFonts w:ascii="Arial" w:eastAsia="Yu Gothic UI" w:hAnsi="Arial" w:cs="Arial"/>
          <w:sz w:val="24"/>
          <w:szCs w:val="24"/>
        </w:rPr>
        <w:t xml:space="preserve"> 40.00 (1). </w:t>
      </w:r>
      <w:r w:rsidRPr="005A3F06">
        <w:rPr>
          <w:rFonts w:ascii="Arial" w:eastAsia="Yu Gothic UI" w:hAnsi="Arial" w:cs="Arial"/>
          <w:i/>
          <w:iCs/>
          <w:sz w:val="24"/>
          <w:szCs w:val="24"/>
        </w:rPr>
        <w:t>See People v. Brown</w:t>
      </w:r>
      <w:r w:rsidRPr="005A3F06">
        <w:rPr>
          <w:rFonts w:ascii="Arial" w:eastAsia="Yu Gothic UI" w:hAnsi="Arial" w:cs="Arial"/>
          <w:sz w:val="24"/>
          <w:szCs w:val="24"/>
        </w:rPr>
        <w:t xml:space="preserve">, 68 A.D.2d 503 (2d Dept  1979); </w:t>
      </w:r>
      <w:r w:rsidRPr="005A3F06">
        <w:rPr>
          <w:rFonts w:ascii="Arial" w:eastAsia="Yu Gothic UI" w:hAnsi="Arial" w:cs="Arial"/>
          <w:i/>
          <w:iCs/>
          <w:sz w:val="24"/>
          <w:szCs w:val="24"/>
        </w:rPr>
        <w:t>People v. Vespa</w:t>
      </w:r>
      <w:r w:rsidRPr="005A3F06">
        <w:rPr>
          <w:rFonts w:ascii="Arial" w:eastAsia="Yu Gothic UI" w:hAnsi="Arial" w:cs="Arial"/>
          <w:sz w:val="24"/>
          <w:szCs w:val="24"/>
        </w:rPr>
        <w:t>, 165 A.D.2d 679 (1</w:t>
      </w:r>
      <w:r w:rsidRPr="005A3F06">
        <w:rPr>
          <w:rFonts w:ascii="Arial" w:eastAsia="Yu Gothic UI" w:hAnsi="Arial" w:cs="Arial"/>
          <w:sz w:val="24"/>
          <w:szCs w:val="24"/>
          <w:vertAlign w:val="superscript"/>
        </w:rPr>
        <w:t>st</w:t>
      </w:r>
      <w:r w:rsidRPr="005A3F06">
        <w:rPr>
          <w:rFonts w:ascii="Arial" w:eastAsia="Yu Gothic UI" w:hAnsi="Arial" w:cs="Arial"/>
          <w:sz w:val="24"/>
          <w:szCs w:val="24"/>
        </w:rPr>
        <w:t xml:space="preserve"> Dept 1990); </w:t>
      </w:r>
      <w:r w:rsidRPr="005A3F06">
        <w:rPr>
          <w:rFonts w:ascii="Arial" w:eastAsia="Yu Gothic UI" w:hAnsi="Arial" w:cs="Arial"/>
          <w:i/>
          <w:iCs/>
          <w:sz w:val="24"/>
          <w:szCs w:val="24"/>
        </w:rPr>
        <w:t>People v. Amaton</w:t>
      </w:r>
      <w:r w:rsidRPr="005A3F06">
        <w:rPr>
          <w:rFonts w:ascii="Arial" w:eastAsia="Yu Gothic UI" w:hAnsi="Arial" w:cs="Arial"/>
          <w:sz w:val="24"/>
          <w:szCs w:val="24"/>
        </w:rPr>
        <w:t xml:space="preserve">, 99 A.D.2d 495 (2d Dept 1984); </w:t>
      </w:r>
      <w:r w:rsidRPr="005A3F06">
        <w:rPr>
          <w:rFonts w:ascii="Arial" w:eastAsia="Yu Gothic UI" w:hAnsi="Arial" w:cs="Arial"/>
          <w:i/>
          <w:iCs/>
          <w:sz w:val="24"/>
          <w:szCs w:val="24"/>
        </w:rPr>
        <w:t>People v.  Ramjohn</w:t>
      </w:r>
      <w:r w:rsidRPr="005A3F06">
        <w:rPr>
          <w:rFonts w:ascii="Arial" w:eastAsia="Yu Gothic UI" w:hAnsi="Arial" w:cs="Arial"/>
          <w:sz w:val="24"/>
          <w:szCs w:val="24"/>
        </w:rPr>
        <w:t>, 513 N.Y.S.2d 830 (2d Dept</w:t>
      </w:r>
      <w:r w:rsidR="00951892">
        <w:rPr>
          <w:rFonts w:ascii="Arial" w:eastAsia="Yu Gothic UI" w:hAnsi="Arial" w:cs="Arial"/>
          <w:sz w:val="24"/>
          <w:szCs w:val="24"/>
        </w:rPr>
        <w:t xml:space="preserve"> </w:t>
      </w:r>
      <w:r w:rsidRPr="005A3F06">
        <w:rPr>
          <w:rFonts w:ascii="Arial" w:eastAsia="Yu Gothic UI" w:hAnsi="Arial" w:cs="Arial"/>
          <w:sz w:val="24"/>
          <w:szCs w:val="24"/>
        </w:rPr>
        <w:t xml:space="preserve">1987); </w:t>
      </w:r>
      <w:r w:rsidRPr="005A3F06">
        <w:rPr>
          <w:rFonts w:ascii="Arial" w:eastAsia="Yu Gothic UI" w:hAnsi="Arial" w:cs="Arial"/>
          <w:i/>
          <w:iCs/>
          <w:sz w:val="24"/>
          <w:szCs w:val="24"/>
        </w:rPr>
        <w:t>People v. Lane</w:t>
      </w:r>
      <w:r w:rsidRPr="005A3F06">
        <w:rPr>
          <w:rFonts w:ascii="Arial" w:eastAsia="Yu Gothic UI" w:hAnsi="Arial" w:cs="Arial"/>
          <w:sz w:val="24"/>
          <w:szCs w:val="24"/>
        </w:rPr>
        <w:t>, 112 A.D.2d 247 (</w:t>
      </w:r>
      <w:r w:rsidR="00951892">
        <w:rPr>
          <w:rFonts w:ascii="Arial" w:eastAsia="Yu Gothic UI" w:hAnsi="Arial" w:cs="Arial"/>
          <w:sz w:val="24"/>
          <w:szCs w:val="24"/>
        </w:rPr>
        <w:t>2d</w:t>
      </w:r>
      <w:r w:rsidRPr="005A3F06">
        <w:rPr>
          <w:rFonts w:ascii="Arial" w:eastAsia="Yu Gothic UI" w:hAnsi="Arial" w:cs="Arial"/>
          <w:sz w:val="24"/>
          <w:szCs w:val="24"/>
        </w:rPr>
        <w:t xml:space="preserve"> Dept 1985).</w:t>
      </w:r>
      <w:r w:rsidR="00C36F42">
        <w:rPr>
          <w:rFonts w:ascii="Arial" w:eastAsia="Yu Gothic UI" w:hAnsi="Arial" w:cs="Arial"/>
          <w:sz w:val="24"/>
          <w:szCs w:val="24"/>
        </w:rPr>
        <w:t xml:space="preserve">  </w:t>
      </w:r>
    </w:p>
    <w:p w14:paraId="70E5DB6C" w14:textId="77777777" w:rsidR="005A3F06" w:rsidRDefault="005A3F06">
      <w:pPr>
        <w:pStyle w:val="EndnoteText"/>
      </w:pPr>
    </w:p>
  </w:endnote>
  <w:endnote w:id="3">
    <w:p w14:paraId="412EC706" w14:textId="3E00672B" w:rsidR="002E0C2B" w:rsidRPr="0057149B" w:rsidRDefault="002E0C2B">
      <w:pPr>
        <w:pStyle w:val="EndnoteText"/>
        <w:rPr>
          <w:rFonts w:ascii="Arial" w:eastAsia="Yu Gothic UI" w:hAnsi="Arial" w:cs="Arial"/>
        </w:rPr>
      </w:pPr>
      <w:r w:rsidRPr="0057149B">
        <w:rPr>
          <w:rStyle w:val="EndnoteReference"/>
        </w:rPr>
        <w:endnoteRef/>
      </w:r>
      <w:r w:rsidRPr="0057149B">
        <w:t xml:space="preserve"> </w:t>
      </w:r>
      <w:r w:rsidRPr="0057149B">
        <w:rPr>
          <w:rFonts w:ascii="Arial" w:eastAsia="Yu Gothic UI" w:hAnsi="Arial" w:cs="Arial"/>
        </w:rPr>
        <w:t xml:space="preserve"> </w:t>
      </w:r>
      <w:r w:rsidRPr="0057149B">
        <w:rPr>
          <w:rFonts w:ascii="Arial" w:eastAsia="Yu Gothic UI" w:hAnsi="Arial" w:cs="Arial"/>
          <w:sz w:val="24"/>
          <w:szCs w:val="24"/>
        </w:rPr>
        <w:t xml:space="preserve">Penal Law </w:t>
      </w:r>
      <w:r w:rsidRPr="0057149B">
        <w:rPr>
          <w:rFonts w:ascii="Arial" w:eastAsia="Yu Gothic UI" w:hAnsi="Arial" w:cs="Arial"/>
          <w:sz w:val="24"/>
          <w:szCs w:val="24"/>
        </w:rPr>
        <w:sym w:font="WP TypographicSymbols" w:char="0027"/>
      </w:r>
      <w:r w:rsidRPr="0057149B">
        <w:rPr>
          <w:rFonts w:ascii="Arial" w:eastAsia="Yu Gothic UI" w:hAnsi="Arial" w:cs="Arial"/>
          <w:sz w:val="24"/>
          <w:szCs w:val="24"/>
        </w:rPr>
        <w:t>40.00(2).</w:t>
      </w:r>
      <w:r w:rsidRPr="0057149B">
        <w:rPr>
          <w:rFonts w:ascii="Arial" w:hAnsi="Arial" w:cs="Arial"/>
          <w:sz w:val="24"/>
          <w:szCs w:val="24"/>
        </w:rPr>
        <w:t xml:space="preserve"> </w:t>
      </w:r>
      <w:r w:rsidRPr="0057149B">
        <w:rPr>
          <w:rFonts w:ascii="Arial" w:eastAsia="Yu Gothic UI" w:hAnsi="Arial" w:cs="Arial"/>
          <w:i/>
          <w:iCs/>
          <w:sz w:val="24"/>
          <w:szCs w:val="24"/>
        </w:rPr>
        <w:t>People v. Campos</w:t>
      </w:r>
      <w:r w:rsidRPr="0057149B">
        <w:rPr>
          <w:rFonts w:ascii="Arial" w:eastAsia="Yu Gothic UI" w:hAnsi="Arial" w:cs="Arial"/>
          <w:sz w:val="24"/>
          <w:szCs w:val="24"/>
        </w:rPr>
        <w:t>, 108 A.D.2d 751 (2d Dept</w:t>
      </w:r>
      <w:r w:rsidR="00951892">
        <w:rPr>
          <w:rFonts w:ascii="Arial" w:eastAsia="Yu Gothic UI" w:hAnsi="Arial" w:cs="Arial"/>
          <w:sz w:val="24"/>
          <w:szCs w:val="24"/>
        </w:rPr>
        <w:t xml:space="preserve"> </w:t>
      </w:r>
      <w:r w:rsidRPr="0057149B">
        <w:rPr>
          <w:rFonts w:ascii="Arial" w:eastAsia="Yu Gothic UI" w:hAnsi="Arial" w:cs="Arial"/>
          <w:sz w:val="24"/>
          <w:szCs w:val="24"/>
        </w:rPr>
        <w:t xml:space="preserve">1985); </w:t>
      </w:r>
      <w:r w:rsidRPr="0057149B">
        <w:rPr>
          <w:rFonts w:ascii="Arial" w:eastAsia="Yu Gothic UI" w:hAnsi="Arial" w:cs="Arial"/>
          <w:i/>
          <w:iCs/>
          <w:sz w:val="24"/>
          <w:szCs w:val="24"/>
        </w:rPr>
        <w:t>People v. Amato</w:t>
      </w:r>
      <w:r w:rsidRPr="0057149B">
        <w:rPr>
          <w:rFonts w:ascii="Arial" w:eastAsia="Yu Gothic UI" w:hAnsi="Arial" w:cs="Arial"/>
          <w:sz w:val="24"/>
          <w:szCs w:val="24"/>
        </w:rPr>
        <w:t>, 99 A.D.2d 495 (2d Dept 1984).</w:t>
      </w:r>
    </w:p>
    <w:p w14:paraId="5FA98417" w14:textId="77777777" w:rsidR="002E0C2B" w:rsidRDefault="002E0C2B">
      <w:pPr>
        <w:pStyle w:val="EndnoteText"/>
      </w:pPr>
    </w:p>
  </w:endnote>
  <w:endnote w:id="4">
    <w:p w14:paraId="3DEC7D85" w14:textId="77B691F7" w:rsidR="00F20EE0" w:rsidRPr="00C36F42" w:rsidRDefault="008B0EA0" w:rsidP="00F20EE0">
      <w:pPr>
        <w:pStyle w:val="EndnoteText"/>
        <w:jc w:val="both"/>
        <w:rPr>
          <w:rFonts w:ascii="Arial" w:hAnsi="Arial" w:cs="Arial"/>
          <w:b/>
          <w:bCs/>
          <w:color w:val="00B050"/>
          <w:sz w:val="24"/>
          <w:szCs w:val="24"/>
        </w:rPr>
      </w:pPr>
      <w:r w:rsidRPr="00D42AD6">
        <w:rPr>
          <w:rFonts w:ascii="Arial" w:hAnsi="Arial" w:cs="Arial"/>
          <w:sz w:val="24"/>
          <w:szCs w:val="24"/>
          <w:vertAlign w:val="superscript"/>
        </w:rPr>
        <w:t>4</w:t>
      </w:r>
      <w:r w:rsidR="00F20EE0" w:rsidRPr="00D42AD6">
        <w:rPr>
          <w:rFonts w:ascii="Arial" w:hAnsi="Arial" w:cs="Arial"/>
          <w:sz w:val="24"/>
          <w:szCs w:val="24"/>
          <w:vertAlign w:val="superscript"/>
        </w:rPr>
        <w:t xml:space="preserve"> </w:t>
      </w:r>
      <w:r w:rsidR="00F20EE0" w:rsidRPr="0057149B">
        <w:rPr>
          <w:rFonts w:ascii="Arial" w:hAnsi="Arial" w:cs="Arial"/>
          <w:sz w:val="24"/>
          <w:szCs w:val="24"/>
        </w:rPr>
        <w:t xml:space="preserve"> </w:t>
      </w:r>
      <w:r w:rsidR="00F20EE0" w:rsidRPr="00163F8C">
        <w:rPr>
          <w:rFonts w:ascii="Arial" w:hAnsi="Arial" w:cs="Arial"/>
          <w:i/>
          <w:iCs/>
          <w:sz w:val="24"/>
          <w:szCs w:val="24"/>
        </w:rPr>
        <w:t>See People v. Calvano</w:t>
      </w:r>
      <w:r w:rsidR="00F20EE0" w:rsidRPr="00163F8C">
        <w:rPr>
          <w:rFonts w:ascii="Arial" w:hAnsi="Arial" w:cs="Arial"/>
          <w:sz w:val="24"/>
          <w:szCs w:val="24"/>
        </w:rPr>
        <w:t xml:space="preserve">, 30 N.Y.2d 199, 205 (1972) (when the defendant raises the defense of duress, “prior criminal acts of the same nature [as that with which he is charged] may properly be proved to rebut the defense that defendant was ‘coerced’ into the transgression”); </w:t>
      </w:r>
      <w:r w:rsidR="00F20EE0" w:rsidRPr="00163F8C">
        <w:rPr>
          <w:rFonts w:ascii="Arial" w:hAnsi="Arial" w:cs="Arial"/>
          <w:i/>
          <w:iCs/>
          <w:sz w:val="24"/>
          <w:szCs w:val="24"/>
        </w:rPr>
        <w:t>People v. Rosado</w:t>
      </w:r>
      <w:r w:rsidR="00F20EE0" w:rsidRPr="00163F8C">
        <w:rPr>
          <w:rFonts w:ascii="Arial" w:hAnsi="Arial" w:cs="Arial"/>
          <w:sz w:val="24"/>
          <w:szCs w:val="24"/>
        </w:rPr>
        <w:t xml:space="preserve">, 244 A.D.2d 772, 776 (3d Dept. 1997) (in a prosecution that included a robbery charge, it was ”proper for the People to introduce the underlying facts of the youthful offender adjudication for robbery to prove a disposition to commit acts of a similar nature in order to rebut the implicit denial of criminal intent raised by this defense [of duress]”); </w:t>
      </w:r>
      <w:r w:rsidR="00F20EE0" w:rsidRPr="00163F8C">
        <w:rPr>
          <w:rFonts w:ascii="Arial" w:hAnsi="Arial" w:cs="Arial"/>
          <w:i/>
          <w:iCs/>
          <w:sz w:val="24"/>
          <w:szCs w:val="24"/>
        </w:rPr>
        <w:t>People v. Williams</w:t>
      </w:r>
      <w:r w:rsidR="00F20EE0" w:rsidRPr="00163F8C">
        <w:rPr>
          <w:rFonts w:ascii="Arial" w:hAnsi="Arial" w:cs="Arial"/>
          <w:sz w:val="24"/>
          <w:szCs w:val="24"/>
        </w:rPr>
        <w:t>, 38 A.D.3d 577, 578 (2d Dept. 2007) (because the defendant raised the defense of duress in a prosecution for attempted burglary, the trial court “properly permitted the prosecutor to cross-examine the defendant on the underlying facts of his prior larcenous-type convictions, including, among others, burglary and attempted burglary”).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221D7" w14:textId="77777777" w:rsidR="00383CEF" w:rsidRDefault="00383CEF">
    <w:pPr>
      <w:spacing w:line="240" w:lineRule="exact"/>
    </w:pPr>
  </w:p>
  <w:p w14:paraId="55A910AB" w14:textId="77777777" w:rsidR="00383CEF" w:rsidRDefault="00383CEF">
    <w:pPr>
      <w:framePr w:w="7921" w:wrap="notBeside" w:vAnchor="text" w:hAnchor="text" w:x="1" w:y="1"/>
      <w:jc w:val="center"/>
    </w:pPr>
    <w:r>
      <w:fldChar w:fldCharType="begin"/>
    </w:r>
    <w:r>
      <w:instrText xml:space="preserve">PAGE </w:instrText>
    </w:r>
    <w:r>
      <w:fldChar w:fldCharType="separate"/>
    </w:r>
    <w:r w:rsidR="00BC1C62">
      <w:rPr>
        <w:noProof/>
      </w:rPr>
      <w:t>3</w:t>
    </w:r>
    <w:r>
      <w:fldChar w:fldCharType="end"/>
    </w:r>
  </w:p>
  <w:p w14:paraId="51F1489C" w14:textId="77777777" w:rsidR="00383CEF" w:rsidRDefault="00383CEF">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A86C9" w14:textId="77777777" w:rsidR="00C91755" w:rsidRDefault="00C91755" w:rsidP="00383CEF">
      <w:r>
        <w:separator/>
      </w:r>
    </w:p>
  </w:footnote>
  <w:footnote w:type="continuationSeparator" w:id="0">
    <w:p w14:paraId="1FF521F1" w14:textId="77777777" w:rsidR="00C91755" w:rsidRDefault="00C91755" w:rsidP="00383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EF"/>
    <w:rsid w:val="00022B4D"/>
    <w:rsid w:val="0005139C"/>
    <w:rsid w:val="00083CF0"/>
    <w:rsid w:val="000C1E29"/>
    <w:rsid w:val="000E5ED8"/>
    <w:rsid w:val="00122BFE"/>
    <w:rsid w:val="00163F8C"/>
    <w:rsid w:val="001D20C5"/>
    <w:rsid w:val="0022513B"/>
    <w:rsid w:val="00241498"/>
    <w:rsid w:val="0024578F"/>
    <w:rsid w:val="00245A95"/>
    <w:rsid w:val="0026392D"/>
    <w:rsid w:val="00281F17"/>
    <w:rsid w:val="002A0903"/>
    <w:rsid w:val="002E0C2B"/>
    <w:rsid w:val="002F5AED"/>
    <w:rsid w:val="00324FFF"/>
    <w:rsid w:val="00334397"/>
    <w:rsid w:val="00335822"/>
    <w:rsid w:val="003613A2"/>
    <w:rsid w:val="0036667B"/>
    <w:rsid w:val="00380F27"/>
    <w:rsid w:val="00383CEF"/>
    <w:rsid w:val="00395E08"/>
    <w:rsid w:val="0042598E"/>
    <w:rsid w:val="00443575"/>
    <w:rsid w:val="004462FB"/>
    <w:rsid w:val="00475088"/>
    <w:rsid w:val="00477F30"/>
    <w:rsid w:val="00487868"/>
    <w:rsid w:val="004B4551"/>
    <w:rsid w:val="004C500A"/>
    <w:rsid w:val="004C5119"/>
    <w:rsid w:val="004D200C"/>
    <w:rsid w:val="005038F3"/>
    <w:rsid w:val="005407AF"/>
    <w:rsid w:val="00543126"/>
    <w:rsid w:val="00554D9B"/>
    <w:rsid w:val="0057149B"/>
    <w:rsid w:val="00571CB3"/>
    <w:rsid w:val="005734D2"/>
    <w:rsid w:val="00577A2A"/>
    <w:rsid w:val="005861D3"/>
    <w:rsid w:val="005947C7"/>
    <w:rsid w:val="005A3F06"/>
    <w:rsid w:val="00687B15"/>
    <w:rsid w:val="006C5187"/>
    <w:rsid w:val="006E75B9"/>
    <w:rsid w:val="00717CD9"/>
    <w:rsid w:val="00734A8E"/>
    <w:rsid w:val="007427B8"/>
    <w:rsid w:val="00784E4E"/>
    <w:rsid w:val="007C158E"/>
    <w:rsid w:val="00801486"/>
    <w:rsid w:val="00863B2F"/>
    <w:rsid w:val="00871D77"/>
    <w:rsid w:val="00874D33"/>
    <w:rsid w:val="00892179"/>
    <w:rsid w:val="008B0EA0"/>
    <w:rsid w:val="008D1546"/>
    <w:rsid w:val="008D1C44"/>
    <w:rsid w:val="008D5602"/>
    <w:rsid w:val="009248C3"/>
    <w:rsid w:val="0093059A"/>
    <w:rsid w:val="00940C77"/>
    <w:rsid w:val="00951892"/>
    <w:rsid w:val="00975078"/>
    <w:rsid w:val="0099417D"/>
    <w:rsid w:val="00A02C40"/>
    <w:rsid w:val="00A02FEB"/>
    <w:rsid w:val="00A47DFF"/>
    <w:rsid w:val="00AB4FEC"/>
    <w:rsid w:val="00AE34BE"/>
    <w:rsid w:val="00AF4270"/>
    <w:rsid w:val="00AF5DE5"/>
    <w:rsid w:val="00B0196F"/>
    <w:rsid w:val="00B455D0"/>
    <w:rsid w:val="00B6703E"/>
    <w:rsid w:val="00B77414"/>
    <w:rsid w:val="00BB2F5E"/>
    <w:rsid w:val="00BB75B9"/>
    <w:rsid w:val="00BC1C62"/>
    <w:rsid w:val="00BD40D1"/>
    <w:rsid w:val="00C36F42"/>
    <w:rsid w:val="00C476FD"/>
    <w:rsid w:val="00C47B2C"/>
    <w:rsid w:val="00C812EF"/>
    <w:rsid w:val="00C91755"/>
    <w:rsid w:val="00CA6C66"/>
    <w:rsid w:val="00D056CE"/>
    <w:rsid w:val="00D17DD6"/>
    <w:rsid w:val="00D42AD6"/>
    <w:rsid w:val="00D70100"/>
    <w:rsid w:val="00DC2B00"/>
    <w:rsid w:val="00E02779"/>
    <w:rsid w:val="00E04681"/>
    <w:rsid w:val="00E40606"/>
    <w:rsid w:val="00E41A35"/>
    <w:rsid w:val="00E60418"/>
    <w:rsid w:val="00E832C8"/>
    <w:rsid w:val="00E906A2"/>
    <w:rsid w:val="00EB0F31"/>
    <w:rsid w:val="00EB5328"/>
    <w:rsid w:val="00F20EE0"/>
    <w:rsid w:val="00FB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B80B33"/>
  <w14:defaultImageDpi w14:val="0"/>
  <w15:docId w15:val="{53F28B8A-329A-4D83-AA63-8A90F787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EndnoteText">
    <w:name w:val="endnote text"/>
    <w:basedOn w:val="Normal"/>
    <w:link w:val="EndnoteTextChar"/>
    <w:uiPriority w:val="99"/>
    <w:semiHidden/>
    <w:unhideWhenUsed/>
    <w:rsid w:val="00C47B2C"/>
    <w:rPr>
      <w:sz w:val="20"/>
      <w:szCs w:val="20"/>
    </w:rPr>
  </w:style>
  <w:style w:type="character" w:customStyle="1" w:styleId="EndnoteTextChar">
    <w:name w:val="Endnote Text Char"/>
    <w:basedOn w:val="DefaultParagraphFont"/>
    <w:link w:val="EndnoteText"/>
    <w:uiPriority w:val="99"/>
    <w:semiHidden/>
    <w:rsid w:val="00C47B2C"/>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47B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5A5F115699347A7F2FB1ED10FCB3E" ma:contentTypeVersion="13" ma:contentTypeDescription="Create a new document." ma:contentTypeScope="" ma:versionID="2019413a6a3c310de5bda00d874950cb">
  <xsd:schema xmlns:xsd="http://www.w3.org/2001/XMLSchema" xmlns:xs="http://www.w3.org/2001/XMLSchema" xmlns:p="http://schemas.microsoft.com/office/2006/metadata/properties" xmlns:ns1="http://schemas.microsoft.com/sharepoint/v3" xmlns:ns3="570a3d8e-1289-4d00-9824-ef7ac9331d49" xmlns:ns4="870f8da0-fdc9-4553-8141-551a46ee38df" targetNamespace="http://schemas.microsoft.com/office/2006/metadata/properties" ma:root="true" ma:fieldsID="4ad08b902307645f3ca985891f50f963" ns1:_="" ns3:_="" ns4:_="">
    <xsd:import namespace="http://schemas.microsoft.com/sharepoint/v3"/>
    <xsd:import namespace="570a3d8e-1289-4d00-9824-ef7ac9331d49"/>
    <xsd:import namespace="870f8da0-fdc9-4553-8141-551a46ee38df"/>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a3d8e-1289-4d00-9824-ef7ac9331d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f8da0-fdc9-4553-8141-551a46ee38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F107-33F0-40BA-9D82-8F99D016F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0a3d8e-1289-4d00-9824-ef7ac9331d49"/>
    <ds:schemaRef ds:uri="870f8da0-fdc9-4553-8141-551a46ee3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A7436-C234-452C-A7DB-A9426D58517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747C106-7239-4745-A215-1B79557C8811}">
  <ds:schemaRefs>
    <ds:schemaRef ds:uri="http://schemas.microsoft.com/sharepoint/v3/contenttype/forms"/>
  </ds:schemaRefs>
</ds:datastoreItem>
</file>

<file path=customXml/itemProps4.xml><?xml version="1.0" encoding="utf-8"?>
<ds:datastoreItem xmlns:ds="http://schemas.openxmlformats.org/officeDocument/2006/customXml" ds:itemID="{6BB2F720-4353-41B7-A1AB-1EB6C5A0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21</cp:revision>
  <dcterms:created xsi:type="dcterms:W3CDTF">2020-01-25T05:00:00Z</dcterms:created>
  <dcterms:modified xsi:type="dcterms:W3CDTF">2020-05-27T19:12:00Z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0x0101009DA5A5F115699347A7F2FB1ED10FCB3E</vt:lpwstr>
  </property>
</Properties>
</file>